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0E3" w:rsidRDefault="002120E3" w:rsidP="002120E3">
      <w:pPr>
        <w:spacing w:after="240" w:line="360" w:lineRule="auto"/>
        <w:jc w:val="center"/>
        <w:rPr>
          <w:rFonts w:ascii="Times New Roman" w:hAnsi="Times New Roman"/>
          <w:b/>
          <w:bCs/>
          <w:iCs/>
          <w:lang w:val="pt-BR" w:eastAsia="pt-BR"/>
        </w:rPr>
      </w:pPr>
      <w:bookmarkStart w:id="0" w:name="_GoBack"/>
      <w:bookmarkEnd w:id="0"/>
      <w:r w:rsidRPr="002120E3">
        <w:rPr>
          <w:rFonts w:ascii="Times New Roman" w:hAnsi="Times New Roman"/>
          <w:b/>
          <w:bCs/>
          <w:lang w:val="pt-BR" w:eastAsia="pt-BR"/>
        </w:rPr>
        <w:t>IMPORTÂNCIA DA MONITORIA NA APRENDIZAGEM DA DISCIPLINA DE</w:t>
      </w:r>
      <w:r w:rsidRPr="002120E3">
        <w:rPr>
          <w:rFonts w:ascii="Times New Roman" w:hAnsi="Times New Roman"/>
          <w:b/>
          <w:lang w:val="pt-BR" w:eastAsia="pt-BR"/>
        </w:rPr>
        <w:t xml:space="preserve"> </w:t>
      </w:r>
      <w:r w:rsidRPr="002120E3">
        <w:rPr>
          <w:rFonts w:ascii="Times New Roman" w:hAnsi="Times New Roman"/>
          <w:b/>
          <w:bCs/>
          <w:iCs/>
          <w:lang w:val="pt-BR" w:eastAsia="pt-BR"/>
        </w:rPr>
        <w:t>ANATOMIA E FISIOLOGIA DOS ANIMAIS DOMÉSTICOS PARA O CURSO DE AGRONOMIA DURANTE OS PERÍODOS DE 2012.1 e 2012.2</w:t>
      </w:r>
    </w:p>
    <w:p w:rsidR="002120E3" w:rsidRPr="002120E3" w:rsidRDefault="002120E3" w:rsidP="002120E3">
      <w:pPr>
        <w:spacing w:after="240" w:line="360" w:lineRule="auto"/>
        <w:rPr>
          <w:rFonts w:ascii="Times New Roman" w:hAnsi="Times New Roman"/>
          <w:lang w:val="pt-BR"/>
        </w:rPr>
      </w:pPr>
      <w:r w:rsidRPr="002120E3">
        <w:rPr>
          <w:rFonts w:ascii="Times New Roman" w:hAnsi="Times New Roman"/>
          <w:lang w:val="pt-BR" w:eastAsia="pt-BR"/>
        </w:rPr>
        <w:t>Roberta Ferreira Da Silva</w:t>
      </w:r>
      <w:r w:rsidRPr="002120E3">
        <w:rPr>
          <w:rFonts w:ascii="Times New Roman" w:hAnsi="Times New Roman"/>
          <w:vertAlign w:val="superscript"/>
          <w:lang w:val="pt-BR" w:eastAsia="pt-BR"/>
        </w:rPr>
        <w:t>1</w:t>
      </w:r>
      <w:r w:rsidRPr="002120E3">
        <w:rPr>
          <w:rFonts w:ascii="Times New Roman" w:hAnsi="Times New Roman"/>
          <w:lang w:val="pt-BR" w:eastAsia="pt-BR"/>
        </w:rPr>
        <w:t xml:space="preserve">; </w:t>
      </w:r>
      <w:r w:rsidRPr="002120E3">
        <w:rPr>
          <w:rFonts w:ascii="Times New Roman" w:hAnsi="Times New Roman"/>
          <w:lang w:val="pt-BR"/>
        </w:rPr>
        <w:t xml:space="preserve">Anne </w:t>
      </w:r>
      <w:proofErr w:type="spellStart"/>
      <w:r w:rsidRPr="002120E3">
        <w:rPr>
          <w:rFonts w:ascii="Times New Roman" w:hAnsi="Times New Roman"/>
          <w:lang w:val="pt-BR"/>
        </w:rPr>
        <w:t>Evelyne</w:t>
      </w:r>
      <w:proofErr w:type="spellEnd"/>
      <w:r>
        <w:rPr>
          <w:rFonts w:ascii="Times New Roman" w:hAnsi="Times New Roman"/>
          <w:lang w:val="pt-BR"/>
        </w:rPr>
        <w:t xml:space="preserve"> F.</w:t>
      </w:r>
      <w:r w:rsidRPr="002120E3">
        <w:rPr>
          <w:rFonts w:ascii="Times New Roman" w:hAnsi="Times New Roman"/>
          <w:lang w:val="pt-BR"/>
        </w:rPr>
        <w:t xml:space="preserve"> De Souza</w:t>
      </w:r>
      <w:r w:rsidRPr="002120E3">
        <w:rPr>
          <w:rFonts w:ascii="Times New Roman" w:hAnsi="Times New Roman"/>
          <w:vertAlign w:val="superscript"/>
          <w:lang w:val="pt-BR"/>
        </w:rPr>
        <w:t>2</w:t>
      </w:r>
      <w:r w:rsidRPr="002120E3">
        <w:rPr>
          <w:rFonts w:ascii="Times New Roman" w:hAnsi="Times New Roman"/>
          <w:lang w:val="pt-BR"/>
        </w:rPr>
        <w:t>; Ricardo Barbosa de Lucena</w:t>
      </w:r>
      <w:r>
        <w:rPr>
          <w:rFonts w:ascii="Times New Roman" w:hAnsi="Times New Roman"/>
          <w:lang w:val="pt-BR"/>
        </w:rPr>
        <w:t>³</w:t>
      </w:r>
    </w:p>
    <w:p w:rsidR="00CA6B19" w:rsidRDefault="002120E3" w:rsidP="002120E3">
      <w:pPr>
        <w:spacing w:after="240" w:line="360" w:lineRule="auto"/>
        <w:jc w:val="center"/>
        <w:rPr>
          <w:rFonts w:ascii="Times New Roman" w:hAnsi="Times New Roman"/>
          <w:lang w:val="pt-BR"/>
        </w:rPr>
      </w:pPr>
      <w:r>
        <w:rPr>
          <w:rFonts w:ascii="Times New Roman" w:hAnsi="Times New Roman"/>
          <w:lang w:val="pt-BR"/>
        </w:rPr>
        <w:t>Centro de Ciências Agrárias-CCA-</w:t>
      </w:r>
      <w:r w:rsidRPr="002120E3">
        <w:rPr>
          <w:rFonts w:ascii="Times New Roman" w:hAnsi="Times New Roman"/>
          <w:lang w:val="pt-BR"/>
        </w:rPr>
        <w:t>Depar</w:t>
      </w:r>
      <w:r>
        <w:rPr>
          <w:rFonts w:ascii="Times New Roman" w:hAnsi="Times New Roman"/>
          <w:lang w:val="pt-BR"/>
        </w:rPr>
        <w:t>tamento de Medicina Veterinária-</w:t>
      </w:r>
      <w:r w:rsidRPr="002120E3">
        <w:rPr>
          <w:rFonts w:ascii="Times New Roman" w:hAnsi="Times New Roman"/>
          <w:lang w:val="pt-BR"/>
        </w:rPr>
        <w:t>Monitori</w:t>
      </w:r>
      <w:r>
        <w:rPr>
          <w:rFonts w:ascii="Times New Roman" w:hAnsi="Times New Roman"/>
          <w:lang w:val="pt-BR"/>
        </w:rPr>
        <w:t>a</w:t>
      </w:r>
    </w:p>
    <w:p w:rsidR="002120E3" w:rsidRPr="002120E3" w:rsidRDefault="002120E3" w:rsidP="002120E3">
      <w:pPr>
        <w:spacing w:after="240" w:line="360" w:lineRule="auto"/>
        <w:jc w:val="center"/>
        <w:rPr>
          <w:rFonts w:ascii="Times New Roman" w:hAnsi="Times New Roman"/>
          <w:lang w:val="pt-BR"/>
        </w:rPr>
      </w:pPr>
    </w:p>
    <w:p w:rsidR="00656D60" w:rsidRPr="002120E3" w:rsidRDefault="00387EDD" w:rsidP="002120E3">
      <w:pPr>
        <w:pStyle w:val="PargrafodaLista"/>
        <w:numPr>
          <w:ilvl w:val="0"/>
          <w:numId w:val="2"/>
        </w:numPr>
        <w:spacing w:after="240" w:line="360" w:lineRule="auto"/>
        <w:rPr>
          <w:rFonts w:ascii="Times New Roman" w:hAnsi="Times New Roman"/>
          <w:b/>
          <w:lang w:val="pt-BR" w:eastAsia="pt-BR"/>
        </w:rPr>
      </w:pPr>
      <w:r w:rsidRPr="002120E3">
        <w:rPr>
          <w:rFonts w:ascii="Times New Roman" w:hAnsi="Times New Roman"/>
          <w:b/>
          <w:lang w:val="pt-BR"/>
        </w:rPr>
        <w:t>INTRODUÇÃO</w:t>
      </w:r>
    </w:p>
    <w:p w:rsidR="00656D60" w:rsidRPr="002120E3" w:rsidRDefault="00656D60" w:rsidP="002120E3">
      <w:pPr>
        <w:spacing w:line="360" w:lineRule="auto"/>
        <w:jc w:val="both"/>
        <w:rPr>
          <w:rFonts w:ascii="Times New Roman" w:hAnsi="Times New Roman"/>
          <w:lang w:val="pt-BR"/>
        </w:rPr>
      </w:pPr>
      <w:r w:rsidRPr="002120E3">
        <w:rPr>
          <w:rFonts w:ascii="Times New Roman" w:hAnsi="Times New Roman"/>
          <w:b/>
          <w:lang w:val="pt-BR"/>
        </w:rPr>
        <w:tab/>
      </w:r>
      <w:r w:rsidRPr="002120E3">
        <w:rPr>
          <w:rFonts w:ascii="Times New Roman" w:hAnsi="Times New Roman"/>
          <w:lang w:val="pt-BR"/>
        </w:rPr>
        <w:t>A disciplina de anatomia e fisiologia dos animais domésticos tem como proposta discorrer sobre a i</w:t>
      </w:r>
      <w:r w:rsidRPr="002120E3">
        <w:rPr>
          <w:rFonts w:ascii="Times New Roman" w:eastAsia="Calibri" w:hAnsi="Times New Roman"/>
          <w:lang w:val="pt-BR"/>
        </w:rPr>
        <w:t>mportância da Anatomia e Fisiologia no âmbito das Ciências Naturais</w:t>
      </w:r>
      <w:r w:rsidRPr="002120E3">
        <w:rPr>
          <w:rFonts w:ascii="Times New Roman" w:hAnsi="Times New Roman"/>
          <w:lang w:val="pt-BR"/>
        </w:rPr>
        <w:t xml:space="preserve">, através dos estudos das diferentes estruturas anatômicas dos diversos aparelhos e sistemas que constituem o corpo dos animais domésticos. Essa disciplina também se aplica reconhecimento e aprendizagem dos diferentes mecanismos fisiológicos que atuam no equilíbrio e na sobrevivência dos animais. </w:t>
      </w:r>
      <w:r w:rsidR="00476875" w:rsidRPr="002120E3">
        <w:rPr>
          <w:rFonts w:ascii="Times New Roman" w:hAnsi="Times New Roman"/>
          <w:lang w:val="pt-BR"/>
        </w:rPr>
        <w:t xml:space="preserve">Sendo esta disciplina </w:t>
      </w:r>
      <w:r w:rsidRPr="002120E3">
        <w:rPr>
          <w:rFonts w:ascii="Times New Roman" w:hAnsi="Times New Roman"/>
          <w:lang w:val="pt-BR"/>
        </w:rPr>
        <w:t>considerada pelos alunos como uma das mais complexas, não só pela dificuldade de assimilar nomenclaturas anatômicas e identificar as estruturas nas peças fixadas, mas também por apresentar-se como sobrecarga para os alunos, que necessitam pagar duas disciplinas em uma mesma cadeira.</w:t>
      </w:r>
    </w:p>
    <w:p w:rsidR="00656D60" w:rsidRPr="002120E3" w:rsidRDefault="00656D60" w:rsidP="002120E3">
      <w:pPr>
        <w:spacing w:line="360" w:lineRule="auto"/>
        <w:ind w:firstLine="708"/>
        <w:jc w:val="both"/>
        <w:rPr>
          <w:rFonts w:ascii="Times New Roman" w:hAnsi="Times New Roman"/>
          <w:lang w:val="pt-BR"/>
        </w:rPr>
      </w:pPr>
      <w:r w:rsidRPr="002120E3">
        <w:rPr>
          <w:rFonts w:ascii="Times New Roman" w:hAnsi="Times New Roman"/>
          <w:lang w:val="pt-BR"/>
        </w:rPr>
        <w:t xml:space="preserve"> Uma das formas encontrada para amenizar essa problemática é a atuação do aluno monitor para acompanhar e auxiliar os discentes durante todo o período letivo, contribuindo para aproximar os alunos da disciplina e consequentemente, proporcionar um melhoramento no desempenho dos discentes, reduzindo o número de desistência e de reprovação. </w:t>
      </w:r>
    </w:p>
    <w:p w:rsidR="00947524" w:rsidRPr="002120E3" w:rsidRDefault="00947524" w:rsidP="002120E3">
      <w:pPr>
        <w:spacing w:line="360" w:lineRule="auto"/>
        <w:ind w:firstLine="708"/>
        <w:jc w:val="both"/>
        <w:rPr>
          <w:rFonts w:ascii="Times New Roman" w:hAnsi="Times New Roman"/>
          <w:lang w:val="pt-BR"/>
        </w:rPr>
      </w:pPr>
      <w:r w:rsidRPr="002120E3">
        <w:rPr>
          <w:rFonts w:ascii="Times New Roman" w:hAnsi="Times New Roman"/>
          <w:lang w:val="pt-BR"/>
        </w:rPr>
        <w:t xml:space="preserve">Para MORAES e TORRES (2003), a monitoria é de fundamental importância para fortalecer essas diretrizes, pois caracteriza a modalidade de ensino-aprendizagem, dentro das necessidades de formação acadêmica, em que tenta despertar o interesse mediante o desempenho de atividades ligadas ao ensino, possibilitando a experiência da vida acadêmica. Além de possibilitar a apropriação de habilidades em atividades didáticas, já que o monitor possui o papel de administrador, com a responsabilidade de auxiliar os professores, em suas atividades, é papel do monitor tornar o ambiente </w:t>
      </w:r>
      <w:r w:rsidRPr="002120E3">
        <w:rPr>
          <w:rFonts w:ascii="Times New Roman" w:hAnsi="Times New Roman"/>
          <w:lang w:val="pt-BR"/>
        </w:rPr>
        <w:lastRenderedPageBreak/>
        <w:t>confortável para o aluno, exercendo um papel importante no incentivo destes para que participem cada vez mais do ambiente acadêmico.</w:t>
      </w:r>
    </w:p>
    <w:p w:rsidR="00656D60" w:rsidRDefault="00656D60" w:rsidP="008C230E">
      <w:pPr>
        <w:spacing w:line="360" w:lineRule="auto"/>
        <w:ind w:firstLine="708"/>
        <w:jc w:val="both"/>
        <w:rPr>
          <w:rFonts w:ascii="Times New Roman" w:hAnsi="Times New Roman"/>
          <w:lang w:val="pt-BR"/>
        </w:rPr>
      </w:pPr>
      <w:r w:rsidRPr="002120E3">
        <w:rPr>
          <w:rFonts w:ascii="Times New Roman" w:hAnsi="Times New Roman"/>
          <w:lang w:val="pt-BR"/>
        </w:rPr>
        <w:t xml:space="preserve">O projeto de monitoria, além de proporcionar uma maior interação aluno-professor, pode instigar no monitor o interesse pela docência. </w:t>
      </w:r>
    </w:p>
    <w:p w:rsidR="008C230E" w:rsidRPr="008C230E" w:rsidRDefault="008C230E" w:rsidP="008C230E">
      <w:pPr>
        <w:spacing w:line="360" w:lineRule="auto"/>
        <w:ind w:firstLine="708"/>
        <w:jc w:val="both"/>
        <w:rPr>
          <w:rFonts w:ascii="Times New Roman" w:hAnsi="Times New Roman"/>
          <w:lang w:val="pt-BR"/>
        </w:rPr>
      </w:pPr>
    </w:p>
    <w:p w:rsidR="004355DB" w:rsidRPr="002120E3" w:rsidRDefault="00211A35" w:rsidP="002120E3">
      <w:pPr>
        <w:spacing w:line="360" w:lineRule="auto"/>
        <w:jc w:val="both"/>
        <w:rPr>
          <w:rFonts w:ascii="Times New Roman" w:hAnsi="Times New Roman"/>
          <w:lang w:val="pt-BR"/>
        </w:rPr>
      </w:pPr>
      <w:r>
        <w:rPr>
          <w:rFonts w:ascii="Times New Roman" w:hAnsi="Times New Roman"/>
          <w:b/>
          <w:lang w:val="pt-BR"/>
        </w:rPr>
        <w:t>Palavras-</w:t>
      </w:r>
      <w:r w:rsidR="00656D60" w:rsidRPr="002120E3">
        <w:rPr>
          <w:rFonts w:ascii="Times New Roman" w:hAnsi="Times New Roman"/>
          <w:b/>
          <w:lang w:val="pt-BR"/>
        </w:rPr>
        <w:t xml:space="preserve">chave: </w:t>
      </w:r>
      <w:r w:rsidR="00656D60" w:rsidRPr="002120E3">
        <w:rPr>
          <w:rFonts w:ascii="Times New Roman" w:hAnsi="Times New Roman"/>
          <w:lang w:val="pt-BR"/>
        </w:rPr>
        <w:t>Monitoria, Alunos e Anatomia.</w:t>
      </w:r>
    </w:p>
    <w:p w:rsidR="00CA6B19" w:rsidRPr="002120E3" w:rsidRDefault="00CA6B19" w:rsidP="002120E3">
      <w:pPr>
        <w:spacing w:line="360" w:lineRule="auto"/>
        <w:jc w:val="both"/>
        <w:rPr>
          <w:rFonts w:ascii="Times New Roman" w:hAnsi="Times New Roman"/>
          <w:lang w:val="pt-BR"/>
        </w:rPr>
      </w:pPr>
    </w:p>
    <w:p w:rsidR="00CA6B19" w:rsidRPr="008C230E" w:rsidRDefault="00656D60" w:rsidP="002120E3">
      <w:pPr>
        <w:pStyle w:val="PargrafodaLista"/>
        <w:numPr>
          <w:ilvl w:val="0"/>
          <w:numId w:val="2"/>
        </w:numPr>
        <w:spacing w:line="360" w:lineRule="auto"/>
        <w:jc w:val="both"/>
        <w:rPr>
          <w:rFonts w:ascii="Times New Roman" w:hAnsi="Times New Roman"/>
          <w:b/>
          <w:lang w:val="pt-BR"/>
        </w:rPr>
      </w:pPr>
      <w:r w:rsidRPr="008C230E">
        <w:rPr>
          <w:rFonts w:ascii="Times New Roman" w:hAnsi="Times New Roman"/>
          <w:b/>
          <w:lang w:val="pt-BR"/>
        </w:rPr>
        <w:t>OBJETIVO</w:t>
      </w:r>
    </w:p>
    <w:p w:rsidR="00947524" w:rsidRPr="002120E3" w:rsidRDefault="00656D60" w:rsidP="002120E3">
      <w:pPr>
        <w:spacing w:line="360" w:lineRule="auto"/>
        <w:ind w:firstLine="708"/>
        <w:jc w:val="both"/>
        <w:rPr>
          <w:rFonts w:ascii="Times New Roman" w:hAnsi="Times New Roman"/>
          <w:b/>
          <w:lang w:val="pt-BR"/>
        </w:rPr>
      </w:pPr>
      <w:r w:rsidRPr="002120E3">
        <w:rPr>
          <w:rFonts w:ascii="Times New Roman" w:hAnsi="Times New Roman"/>
          <w:b/>
          <w:lang w:val="pt-BR"/>
        </w:rPr>
        <w:t xml:space="preserve"> </w:t>
      </w:r>
      <w:r w:rsidRPr="002120E3">
        <w:rPr>
          <w:rFonts w:ascii="Times New Roman" w:hAnsi="Times New Roman"/>
          <w:lang w:val="pt-BR"/>
        </w:rPr>
        <w:t>Este trabalho tem como objetivo discutir a respeito das atividades desenvolvidas durante a vigência da monitoria, e visa também avaliar o desempenho dos discentes do curso de agronomia</w:t>
      </w:r>
      <w:r w:rsidR="007002FC" w:rsidRPr="002120E3">
        <w:rPr>
          <w:rFonts w:ascii="Times New Roman" w:hAnsi="Times New Roman"/>
          <w:lang w:val="pt-BR"/>
        </w:rPr>
        <w:t xml:space="preserve"> durante os períodos de 2012.1 e 2012.2.</w:t>
      </w:r>
    </w:p>
    <w:p w:rsidR="007002FC" w:rsidRPr="002120E3" w:rsidRDefault="007002FC" w:rsidP="002120E3">
      <w:pPr>
        <w:spacing w:line="360" w:lineRule="auto"/>
        <w:jc w:val="both"/>
        <w:rPr>
          <w:rFonts w:ascii="Times New Roman" w:hAnsi="Times New Roman"/>
          <w:b/>
          <w:lang w:val="pt-BR"/>
        </w:rPr>
      </w:pPr>
    </w:p>
    <w:p w:rsidR="00656D60" w:rsidRPr="008C230E" w:rsidRDefault="00656D60" w:rsidP="002120E3">
      <w:pPr>
        <w:pStyle w:val="PargrafodaLista"/>
        <w:numPr>
          <w:ilvl w:val="0"/>
          <w:numId w:val="2"/>
        </w:numPr>
        <w:spacing w:line="360" w:lineRule="auto"/>
        <w:jc w:val="both"/>
        <w:rPr>
          <w:rFonts w:ascii="Times New Roman" w:hAnsi="Times New Roman"/>
          <w:b/>
          <w:lang w:val="pt-BR"/>
        </w:rPr>
      </w:pPr>
      <w:r w:rsidRPr="008C230E">
        <w:rPr>
          <w:rFonts w:ascii="Times New Roman" w:hAnsi="Times New Roman"/>
          <w:b/>
          <w:lang w:val="pt-BR"/>
        </w:rPr>
        <w:t>DESCRIÇÃO METODOLÓGICA</w:t>
      </w:r>
    </w:p>
    <w:p w:rsidR="00656D60" w:rsidRPr="002120E3" w:rsidRDefault="00656D60" w:rsidP="002120E3">
      <w:pPr>
        <w:spacing w:line="360" w:lineRule="auto"/>
        <w:jc w:val="both"/>
        <w:rPr>
          <w:rFonts w:ascii="Times New Roman" w:hAnsi="Times New Roman"/>
          <w:b/>
          <w:lang w:val="pt-BR"/>
        </w:rPr>
      </w:pPr>
    </w:p>
    <w:p w:rsidR="00656D60" w:rsidRPr="002120E3" w:rsidRDefault="00656D60" w:rsidP="002120E3">
      <w:pPr>
        <w:spacing w:line="360" w:lineRule="auto"/>
        <w:ind w:firstLine="708"/>
        <w:jc w:val="both"/>
        <w:rPr>
          <w:rFonts w:ascii="Times New Roman" w:hAnsi="Times New Roman"/>
          <w:lang w:val="pt-BR"/>
        </w:rPr>
      </w:pPr>
      <w:r w:rsidRPr="002120E3">
        <w:rPr>
          <w:rFonts w:ascii="Times New Roman" w:hAnsi="Times New Roman"/>
          <w:lang w:val="pt-BR"/>
        </w:rPr>
        <w:t>As monitorias da disciplina</w:t>
      </w:r>
      <w:r w:rsidR="00947524" w:rsidRPr="002120E3">
        <w:rPr>
          <w:rFonts w:ascii="Times New Roman" w:hAnsi="Times New Roman"/>
          <w:lang w:val="pt-BR"/>
        </w:rPr>
        <w:t xml:space="preserve"> Anatomia e fisiologia animal, </w:t>
      </w:r>
      <w:r w:rsidRPr="002120E3">
        <w:rPr>
          <w:rFonts w:ascii="Times New Roman" w:hAnsi="Times New Roman"/>
          <w:lang w:val="pt-BR"/>
        </w:rPr>
        <w:t xml:space="preserve">foram realizadas no laboratório de Anatomia do Centro de Ciências Agrárias, Campus II da Universidade Federal da Paraíba; foram estabelecidas e cumpridas às 12 horas semanais em horários pré-estabelecido entre alunos e monitora, buscando dessa forma evitar horários conflitantes com suas respectivas aulas. Todas as monitorias foram realizadas durante encontros semanais no período diurno, que deve como finalidade utilizar esses encontros para retirar dúvidas, discutir as questões dos estudos dirigidos e auxiliar os alunos, revisando as estruturas </w:t>
      </w:r>
      <w:r w:rsidR="00947524" w:rsidRPr="002120E3">
        <w:rPr>
          <w:rFonts w:ascii="Times New Roman" w:hAnsi="Times New Roman"/>
          <w:lang w:val="pt-BR"/>
        </w:rPr>
        <w:t>anatômicas incluídas ao conteúdo dado em sala de aula</w:t>
      </w:r>
      <w:r w:rsidRPr="002120E3">
        <w:rPr>
          <w:rFonts w:ascii="Times New Roman" w:hAnsi="Times New Roman"/>
          <w:lang w:val="pt-BR"/>
        </w:rPr>
        <w:t>.</w:t>
      </w:r>
    </w:p>
    <w:p w:rsidR="00947524" w:rsidRPr="002120E3" w:rsidRDefault="00947524" w:rsidP="002120E3">
      <w:pPr>
        <w:spacing w:line="360" w:lineRule="auto"/>
        <w:ind w:firstLine="708"/>
        <w:jc w:val="both"/>
        <w:rPr>
          <w:rFonts w:ascii="Times New Roman" w:hAnsi="Times New Roman"/>
          <w:lang w:val="pt-BR"/>
        </w:rPr>
      </w:pPr>
      <w:r w:rsidRPr="002120E3">
        <w:rPr>
          <w:rFonts w:ascii="Times New Roman" w:hAnsi="Times New Roman"/>
          <w:lang w:val="pt-BR"/>
        </w:rPr>
        <w:t xml:space="preserve">Ao longo dos semestres letivos decorrentes entre os períodos de 2012.1 e 2012.2, </w:t>
      </w:r>
      <w:r w:rsidR="00656D60" w:rsidRPr="002120E3">
        <w:rPr>
          <w:rFonts w:ascii="Times New Roman" w:hAnsi="Times New Roman"/>
          <w:lang w:val="pt-BR"/>
        </w:rPr>
        <w:t xml:space="preserve">foram oferecidas aulas teóricas e práticas com auxílio </w:t>
      </w:r>
      <w:r w:rsidR="005B6BB0" w:rsidRPr="002120E3">
        <w:rPr>
          <w:rFonts w:ascii="Times New Roman" w:hAnsi="Times New Roman"/>
          <w:lang w:val="pt-BR"/>
        </w:rPr>
        <w:t xml:space="preserve">quadro branco, canetas, data show, </w:t>
      </w:r>
      <w:r w:rsidR="00656D60" w:rsidRPr="002120E3">
        <w:rPr>
          <w:rFonts w:ascii="Times New Roman" w:hAnsi="Times New Roman"/>
          <w:lang w:val="pt-BR"/>
        </w:rPr>
        <w:t>estudos dirigidos e apresentações de PowerPoint que continham imagens editadas com os nomes das estruturas anatômicas vistas durante as aulas práticas.</w:t>
      </w:r>
    </w:p>
    <w:p w:rsidR="00947524" w:rsidRPr="002120E3" w:rsidRDefault="00656D60" w:rsidP="002120E3">
      <w:pPr>
        <w:spacing w:line="360" w:lineRule="auto"/>
        <w:ind w:firstLine="708"/>
        <w:jc w:val="both"/>
        <w:rPr>
          <w:rFonts w:ascii="Times New Roman" w:hAnsi="Times New Roman"/>
          <w:lang w:val="pt-BR"/>
        </w:rPr>
      </w:pPr>
      <w:r w:rsidRPr="002120E3">
        <w:rPr>
          <w:rFonts w:ascii="Times New Roman" w:hAnsi="Times New Roman"/>
          <w:lang w:val="pt-BR"/>
        </w:rPr>
        <w:t>Buscando facilitar a visualização e identificação de estruturas anatômicas em determinadas peças, a utilização de material de dissecação (luvas de procedimento, pinças anatômicas e dente de rato) foi de extrema importância. Visando respeitar as regras do laboratório, o uso de jaleco, calça e sapato fechado foram utensílios essenciais utilizados pelos estudantes durante as atividades de monitoria.</w:t>
      </w:r>
      <w:r w:rsidR="00192FAF" w:rsidRPr="002120E3">
        <w:rPr>
          <w:rFonts w:ascii="Times New Roman" w:hAnsi="Times New Roman"/>
          <w:lang w:val="pt-BR"/>
        </w:rPr>
        <w:t xml:space="preserve"> </w:t>
      </w:r>
      <w:r w:rsidRPr="002120E3">
        <w:rPr>
          <w:rFonts w:ascii="Times New Roman" w:hAnsi="Times New Roman"/>
          <w:lang w:val="pt-BR"/>
        </w:rPr>
        <w:t xml:space="preserve">Durante a monitoria foram realizados simulados no laboratório, preferencialmente, na ultima monitoria que </w:t>
      </w:r>
      <w:r w:rsidRPr="002120E3">
        <w:rPr>
          <w:rFonts w:ascii="Times New Roman" w:hAnsi="Times New Roman"/>
          <w:lang w:val="pt-BR"/>
        </w:rPr>
        <w:lastRenderedPageBreak/>
        <w:t>antecedia a prova, para identificar os principais pontos de dúvidas dos alunos e a partir daí, reforçar o conteúdo para que essas dúvidas fossem esclarecidas.</w:t>
      </w:r>
    </w:p>
    <w:p w:rsidR="00947524" w:rsidRPr="002120E3" w:rsidRDefault="00947524" w:rsidP="002120E3">
      <w:pPr>
        <w:spacing w:line="360" w:lineRule="auto"/>
        <w:jc w:val="both"/>
        <w:rPr>
          <w:rFonts w:ascii="Times New Roman" w:hAnsi="Times New Roman"/>
          <w:lang w:val="pt-BR"/>
        </w:rPr>
      </w:pPr>
    </w:p>
    <w:p w:rsidR="00D70FD4" w:rsidRPr="008C230E" w:rsidRDefault="00D70FD4" w:rsidP="002120E3">
      <w:pPr>
        <w:pStyle w:val="PargrafodaLista"/>
        <w:numPr>
          <w:ilvl w:val="0"/>
          <w:numId w:val="2"/>
        </w:numPr>
        <w:autoSpaceDE w:val="0"/>
        <w:autoSpaceDN w:val="0"/>
        <w:adjustRightInd w:val="0"/>
        <w:spacing w:line="360" w:lineRule="auto"/>
        <w:jc w:val="both"/>
        <w:rPr>
          <w:rFonts w:ascii="Times New Roman" w:hAnsi="Times New Roman"/>
          <w:b/>
          <w:lang w:val="pt-BR"/>
        </w:rPr>
      </w:pPr>
      <w:r w:rsidRPr="008C230E">
        <w:rPr>
          <w:rFonts w:ascii="Times New Roman" w:hAnsi="Times New Roman"/>
          <w:b/>
          <w:lang w:val="pt-BR"/>
        </w:rPr>
        <w:t>RESULTADOS E DISCUSSÃO</w:t>
      </w:r>
    </w:p>
    <w:p w:rsidR="009B3EA6" w:rsidRPr="002120E3" w:rsidRDefault="009B3EA6" w:rsidP="002120E3">
      <w:pPr>
        <w:autoSpaceDE w:val="0"/>
        <w:autoSpaceDN w:val="0"/>
        <w:adjustRightInd w:val="0"/>
        <w:spacing w:line="360" w:lineRule="auto"/>
        <w:jc w:val="both"/>
        <w:rPr>
          <w:rFonts w:ascii="Times New Roman" w:hAnsi="Times New Roman"/>
          <w:b/>
          <w:lang w:val="pt-BR"/>
        </w:rPr>
      </w:pPr>
    </w:p>
    <w:p w:rsidR="009B3EA6" w:rsidRPr="002120E3" w:rsidRDefault="007002FC" w:rsidP="002120E3">
      <w:pPr>
        <w:autoSpaceDE w:val="0"/>
        <w:autoSpaceDN w:val="0"/>
        <w:adjustRightInd w:val="0"/>
        <w:spacing w:line="360" w:lineRule="auto"/>
        <w:ind w:firstLine="708"/>
        <w:jc w:val="both"/>
        <w:rPr>
          <w:rFonts w:ascii="Times New Roman" w:hAnsi="Times New Roman"/>
          <w:lang w:val="pt-BR"/>
        </w:rPr>
      </w:pPr>
      <w:r w:rsidRPr="002120E3">
        <w:rPr>
          <w:rFonts w:ascii="Times New Roman" w:hAnsi="Times New Roman"/>
          <w:lang w:val="pt-BR"/>
        </w:rPr>
        <w:t xml:space="preserve">Para </w:t>
      </w:r>
      <w:r w:rsidR="00582280" w:rsidRPr="002120E3">
        <w:rPr>
          <w:rFonts w:ascii="Times New Roman" w:hAnsi="Times New Roman"/>
          <w:lang w:val="pt-BR"/>
        </w:rPr>
        <w:t>realização</w:t>
      </w:r>
      <w:r w:rsidRPr="002120E3">
        <w:rPr>
          <w:rFonts w:ascii="Times New Roman" w:hAnsi="Times New Roman"/>
          <w:lang w:val="pt-BR"/>
        </w:rPr>
        <w:t xml:space="preserve"> do traba</w:t>
      </w:r>
      <w:r w:rsidR="00582280" w:rsidRPr="002120E3">
        <w:rPr>
          <w:rFonts w:ascii="Times New Roman" w:hAnsi="Times New Roman"/>
          <w:lang w:val="pt-BR"/>
        </w:rPr>
        <w:t xml:space="preserve">lho final de monitoria </w:t>
      </w:r>
      <w:r w:rsidR="00A40928" w:rsidRPr="002120E3">
        <w:rPr>
          <w:rFonts w:ascii="Times New Roman" w:hAnsi="Times New Roman"/>
          <w:lang w:val="pt-BR"/>
        </w:rPr>
        <w:t xml:space="preserve">fez-se necessário o </w:t>
      </w:r>
      <w:r w:rsidR="00582280" w:rsidRPr="002120E3">
        <w:rPr>
          <w:rFonts w:ascii="Times New Roman" w:hAnsi="Times New Roman"/>
          <w:lang w:val="pt-BR"/>
        </w:rPr>
        <w:t>levantamento dos resultados obtidos</w:t>
      </w:r>
      <w:r w:rsidRPr="002120E3">
        <w:rPr>
          <w:rFonts w:ascii="Times New Roman" w:hAnsi="Times New Roman"/>
          <w:lang w:val="pt-BR"/>
        </w:rPr>
        <w:t xml:space="preserve"> </w:t>
      </w:r>
      <w:r w:rsidR="00A40928" w:rsidRPr="002120E3">
        <w:rPr>
          <w:rFonts w:ascii="Times New Roman" w:hAnsi="Times New Roman"/>
          <w:lang w:val="pt-BR"/>
        </w:rPr>
        <w:t>a partir da</w:t>
      </w:r>
      <w:r w:rsidRPr="002120E3">
        <w:rPr>
          <w:rFonts w:ascii="Times New Roman" w:hAnsi="Times New Roman"/>
          <w:lang w:val="pt-BR"/>
        </w:rPr>
        <w:t xml:space="preserve"> análise dos</w:t>
      </w:r>
      <w:r w:rsidR="00A40928" w:rsidRPr="002120E3">
        <w:rPr>
          <w:rFonts w:ascii="Times New Roman" w:hAnsi="Times New Roman"/>
          <w:lang w:val="pt-BR"/>
        </w:rPr>
        <w:t xml:space="preserve"> resultados apresentados nos</w:t>
      </w:r>
      <w:r w:rsidRPr="002120E3">
        <w:rPr>
          <w:rFonts w:ascii="Times New Roman" w:hAnsi="Times New Roman"/>
          <w:lang w:val="pt-BR"/>
        </w:rPr>
        <w:t xml:space="preserve"> diários de classe</w:t>
      </w:r>
      <w:r w:rsidR="00A40928" w:rsidRPr="002120E3">
        <w:rPr>
          <w:rFonts w:ascii="Times New Roman" w:hAnsi="Times New Roman"/>
          <w:lang w:val="pt-BR"/>
        </w:rPr>
        <w:t xml:space="preserve"> ao fim da disciplina</w:t>
      </w:r>
      <w:r w:rsidRPr="002120E3">
        <w:rPr>
          <w:rFonts w:ascii="Times New Roman" w:hAnsi="Times New Roman"/>
          <w:lang w:val="pt-BR"/>
        </w:rPr>
        <w:t xml:space="preserve">, </w:t>
      </w:r>
      <w:r w:rsidR="00A40928" w:rsidRPr="002120E3">
        <w:rPr>
          <w:rFonts w:ascii="Times New Roman" w:hAnsi="Times New Roman"/>
          <w:lang w:val="pt-BR"/>
        </w:rPr>
        <w:t>no qual foram avaliados os números refere</w:t>
      </w:r>
      <w:r w:rsidR="00EE4512" w:rsidRPr="002120E3">
        <w:rPr>
          <w:rFonts w:ascii="Times New Roman" w:hAnsi="Times New Roman"/>
          <w:lang w:val="pt-BR"/>
        </w:rPr>
        <w:t>ntes</w:t>
      </w:r>
      <w:r w:rsidR="00A40928" w:rsidRPr="002120E3">
        <w:rPr>
          <w:rFonts w:ascii="Times New Roman" w:hAnsi="Times New Roman"/>
          <w:lang w:val="pt-BR"/>
        </w:rPr>
        <w:t xml:space="preserve"> ao </w:t>
      </w:r>
      <w:r w:rsidRPr="002120E3">
        <w:rPr>
          <w:rFonts w:ascii="Times New Roman" w:hAnsi="Times New Roman"/>
          <w:lang w:val="pt-BR"/>
        </w:rPr>
        <w:t>número de alunos matriculados</w:t>
      </w:r>
      <w:r w:rsidR="00A40928" w:rsidRPr="002120E3">
        <w:rPr>
          <w:rFonts w:ascii="Times New Roman" w:hAnsi="Times New Roman"/>
          <w:lang w:val="pt-BR"/>
        </w:rPr>
        <w:t xml:space="preserve"> na disciplina</w:t>
      </w:r>
      <w:r w:rsidRPr="002120E3">
        <w:rPr>
          <w:rFonts w:ascii="Times New Roman" w:hAnsi="Times New Roman"/>
          <w:lang w:val="pt-BR"/>
        </w:rPr>
        <w:t xml:space="preserve">, trancamentos efetivados, discentes que </w:t>
      </w:r>
      <w:r w:rsidR="00A40928" w:rsidRPr="002120E3">
        <w:rPr>
          <w:rFonts w:ascii="Times New Roman" w:hAnsi="Times New Roman"/>
          <w:lang w:val="pt-BR"/>
        </w:rPr>
        <w:t xml:space="preserve">estiveram aptos a prestar </w:t>
      </w:r>
      <w:r w:rsidRPr="002120E3">
        <w:rPr>
          <w:rFonts w:ascii="Times New Roman" w:hAnsi="Times New Roman"/>
          <w:lang w:val="pt-BR"/>
        </w:rPr>
        <w:t>exame final</w:t>
      </w:r>
      <w:r w:rsidR="00A40928" w:rsidRPr="002120E3">
        <w:rPr>
          <w:rFonts w:ascii="Times New Roman" w:hAnsi="Times New Roman"/>
          <w:lang w:val="pt-BR"/>
        </w:rPr>
        <w:t>, além do número de alunos</w:t>
      </w:r>
      <w:r w:rsidRPr="002120E3">
        <w:rPr>
          <w:rFonts w:ascii="Times New Roman" w:hAnsi="Times New Roman"/>
          <w:lang w:val="pt-BR"/>
        </w:rPr>
        <w:t xml:space="preserve"> reprovados</w:t>
      </w:r>
      <w:r w:rsidR="00EE4512" w:rsidRPr="002120E3">
        <w:rPr>
          <w:rFonts w:ascii="Times New Roman" w:hAnsi="Times New Roman"/>
          <w:lang w:val="pt-BR"/>
        </w:rPr>
        <w:t xml:space="preserve">, procurando demonstrar o melhor desempenho na disciplina dos alunos que estiveram presentes na monitoria. </w:t>
      </w:r>
    </w:p>
    <w:p w:rsidR="009B3EA6" w:rsidRPr="002120E3" w:rsidRDefault="00EE4512" w:rsidP="002120E3">
      <w:pPr>
        <w:autoSpaceDE w:val="0"/>
        <w:autoSpaceDN w:val="0"/>
        <w:adjustRightInd w:val="0"/>
        <w:spacing w:line="360" w:lineRule="auto"/>
        <w:ind w:firstLine="708"/>
        <w:jc w:val="both"/>
        <w:rPr>
          <w:rFonts w:ascii="Times New Roman" w:hAnsi="Times New Roman"/>
          <w:lang w:val="pt-BR"/>
        </w:rPr>
      </w:pPr>
      <w:r w:rsidRPr="002120E3">
        <w:rPr>
          <w:rFonts w:ascii="Times New Roman" w:hAnsi="Times New Roman"/>
          <w:lang w:val="pt-BR"/>
        </w:rPr>
        <w:t>No Período letivo de 2012.1 matricularam-se</w:t>
      </w:r>
      <w:r w:rsidR="005234FF" w:rsidRPr="002120E3">
        <w:rPr>
          <w:rFonts w:ascii="Times New Roman" w:hAnsi="Times New Roman"/>
          <w:lang w:val="pt-BR"/>
        </w:rPr>
        <w:t xml:space="preserve"> 38</w:t>
      </w:r>
      <w:r w:rsidRPr="002120E3">
        <w:rPr>
          <w:rFonts w:ascii="Times New Roman" w:hAnsi="Times New Roman"/>
          <w:lang w:val="pt-BR"/>
        </w:rPr>
        <w:t xml:space="preserve"> alunos na disciplina de anatomia e fisiologia dos animais domésticos. Dos alunos</w:t>
      </w:r>
      <w:r w:rsidR="005234FF" w:rsidRPr="002120E3">
        <w:rPr>
          <w:rFonts w:ascii="Times New Roman" w:hAnsi="Times New Roman"/>
          <w:lang w:val="pt-BR"/>
        </w:rPr>
        <w:t xml:space="preserve"> que concluíram a disciplina, 23 (34</w:t>
      </w:r>
      <w:r w:rsidRPr="002120E3">
        <w:rPr>
          <w:rFonts w:ascii="Times New Roman" w:hAnsi="Times New Roman"/>
          <w:lang w:val="pt-BR"/>
        </w:rPr>
        <w:t xml:space="preserve">%) alunos foram </w:t>
      </w:r>
      <w:r w:rsidR="005234FF" w:rsidRPr="002120E3">
        <w:rPr>
          <w:rFonts w:ascii="Times New Roman" w:hAnsi="Times New Roman"/>
          <w:lang w:val="pt-BR"/>
        </w:rPr>
        <w:t xml:space="preserve">aprovados por média, cerca de 8 </w:t>
      </w:r>
      <w:r w:rsidRPr="002120E3">
        <w:rPr>
          <w:rFonts w:ascii="Times New Roman" w:hAnsi="Times New Roman"/>
          <w:lang w:val="pt-BR"/>
        </w:rPr>
        <w:t xml:space="preserve">(12%) alunos estiveram aptos a fazer exame final, sendo que todos foram </w:t>
      </w:r>
      <w:r w:rsidR="005234FF" w:rsidRPr="002120E3">
        <w:rPr>
          <w:rFonts w:ascii="Times New Roman" w:hAnsi="Times New Roman"/>
          <w:lang w:val="pt-BR"/>
        </w:rPr>
        <w:t>aprovados. Apenas 2 (3%) alunos foram reprovados</w:t>
      </w:r>
      <w:r w:rsidRPr="002120E3">
        <w:rPr>
          <w:rFonts w:ascii="Times New Roman" w:hAnsi="Times New Roman"/>
          <w:lang w:val="pt-BR"/>
        </w:rPr>
        <w:t xml:space="preserve">, </w:t>
      </w:r>
      <w:r w:rsidR="005234FF" w:rsidRPr="002120E3">
        <w:rPr>
          <w:rFonts w:ascii="Times New Roman" w:hAnsi="Times New Roman"/>
          <w:lang w:val="pt-BR"/>
        </w:rPr>
        <w:t>sendo que 4 (6%) alunos abandonaram</w:t>
      </w:r>
      <w:r w:rsidRPr="002120E3">
        <w:rPr>
          <w:rFonts w:ascii="Times New Roman" w:hAnsi="Times New Roman"/>
          <w:lang w:val="pt-BR"/>
        </w:rPr>
        <w:t xml:space="preserve"> a disciplina</w:t>
      </w:r>
      <w:r w:rsidR="005234FF" w:rsidRPr="002120E3">
        <w:rPr>
          <w:rFonts w:ascii="Times New Roman" w:hAnsi="Times New Roman"/>
          <w:lang w:val="pt-BR"/>
        </w:rPr>
        <w:t xml:space="preserve"> no decorrer do semestre</w:t>
      </w:r>
      <w:r w:rsidRPr="002120E3">
        <w:rPr>
          <w:rFonts w:ascii="Times New Roman" w:hAnsi="Times New Roman"/>
          <w:lang w:val="pt-BR"/>
        </w:rPr>
        <w:t xml:space="preserve">. </w:t>
      </w:r>
      <w:r w:rsidR="005234FF" w:rsidRPr="002120E3">
        <w:rPr>
          <w:rFonts w:ascii="Times New Roman" w:hAnsi="Times New Roman"/>
          <w:lang w:val="pt-BR"/>
        </w:rPr>
        <w:t>Por fim dos 38</w:t>
      </w:r>
      <w:r w:rsidRPr="002120E3">
        <w:rPr>
          <w:rFonts w:ascii="Times New Roman" w:hAnsi="Times New Roman"/>
          <w:lang w:val="pt-BR"/>
        </w:rPr>
        <w:t xml:space="preserve"> alunos, </w:t>
      </w:r>
      <w:r w:rsidR="005234FF" w:rsidRPr="002120E3">
        <w:rPr>
          <w:rFonts w:ascii="Times New Roman" w:hAnsi="Times New Roman"/>
          <w:lang w:val="pt-BR"/>
        </w:rPr>
        <w:t>31 (45</w:t>
      </w:r>
      <w:r w:rsidRPr="002120E3">
        <w:rPr>
          <w:rFonts w:ascii="Times New Roman" w:hAnsi="Times New Roman"/>
          <w:lang w:val="pt-BR"/>
        </w:rPr>
        <w:t xml:space="preserve">%) </w:t>
      </w:r>
      <w:r w:rsidR="005234FF" w:rsidRPr="002120E3">
        <w:rPr>
          <w:rFonts w:ascii="Times New Roman" w:hAnsi="Times New Roman"/>
          <w:lang w:val="pt-BR"/>
        </w:rPr>
        <w:t>estudantes</w:t>
      </w:r>
      <w:r w:rsidRPr="002120E3">
        <w:rPr>
          <w:rFonts w:ascii="Times New Roman" w:hAnsi="Times New Roman"/>
          <w:lang w:val="pt-BR"/>
        </w:rPr>
        <w:t xml:space="preserve"> foram aprovados.</w:t>
      </w:r>
      <w:r w:rsidR="00F7445D" w:rsidRPr="002120E3">
        <w:rPr>
          <w:rFonts w:ascii="Times New Roman" w:hAnsi="Times New Roman"/>
          <w:lang w:val="pt-BR"/>
        </w:rPr>
        <w:t xml:space="preserve"> </w:t>
      </w:r>
      <w:r w:rsidR="00737534" w:rsidRPr="002120E3">
        <w:rPr>
          <w:rFonts w:ascii="Times New Roman" w:hAnsi="Times New Roman"/>
          <w:lang w:val="pt-BR"/>
        </w:rPr>
        <w:t>Todos estes dados foram esqu</w:t>
      </w:r>
      <w:r w:rsidR="00EA0C11" w:rsidRPr="002120E3">
        <w:rPr>
          <w:rFonts w:ascii="Times New Roman" w:hAnsi="Times New Roman"/>
          <w:lang w:val="pt-BR"/>
        </w:rPr>
        <w:t>ematizados em forma de gráfico 1</w:t>
      </w:r>
      <w:r w:rsidR="00737534" w:rsidRPr="002120E3">
        <w:rPr>
          <w:rFonts w:ascii="Times New Roman" w:hAnsi="Times New Roman"/>
          <w:lang w:val="pt-BR"/>
        </w:rPr>
        <w:t xml:space="preserve">. </w:t>
      </w:r>
      <w:r w:rsidR="00DE6C92" w:rsidRPr="002120E3">
        <w:rPr>
          <w:rFonts w:ascii="Times New Roman" w:hAnsi="Times New Roman"/>
          <w:lang w:val="pt-BR"/>
        </w:rPr>
        <w:t xml:space="preserve"> De acordo com </w:t>
      </w:r>
      <w:r w:rsidR="00EA0C11" w:rsidRPr="002120E3">
        <w:rPr>
          <w:rFonts w:ascii="Times New Roman" w:hAnsi="Times New Roman"/>
          <w:lang w:val="pt-BR"/>
        </w:rPr>
        <w:t>os dados demonstrados no</w:t>
      </w:r>
      <w:r w:rsidR="00476875" w:rsidRPr="002120E3">
        <w:rPr>
          <w:rFonts w:ascii="Times New Roman" w:hAnsi="Times New Roman"/>
          <w:lang w:val="pt-BR"/>
        </w:rPr>
        <w:t xml:space="preserve"> </w:t>
      </w:r>
      <w:r w:rsidR="00EA0C11" w:rsidRPr="002120E3">
        <w:rPr>
          <w:rFonts w:ascii="Times New Roman" w:hAnsi="Times New Roman"/>
          <w:lang w:val="pt-BR"/>
        </w:rPr>
        <w:t>gráfico</w:t>
      </w:r>
      <w:r w:rsidR="00476875" w:rsidRPr="002120E3">
        <w:rPr>
          <w:rFonts w:ascii="Times New Roman" w:hAnsi="Times New Roman"/>
          <w:lang w:val="pt-BR"/>
        </w:rPr>
        <w:t xml:space="preserve"> 2, dos 38 alunos matriculados na disciplina</w:t>
      </w:r>
      <w:r w:rsidR="00DE6C92" w:rsidRPr="002120E3">
        <w:rPr>
          <w:rFonts w:ascii="Times New Roman" w:hAnsi="Times New Roman"/>
          <w:lang w:val="pt-BR"/>
        </w:rPr>
        <w:t xml:space="preserve"> observou-se que 26 (69 %) alunos participaram das monitorias foram aprovados,</w:t>
      </w:r>
      <w:r w:rsidR="00476875" w:rsidRPr="002120E3">
        <w:rPr>
          <w:rFonts w:ascii="Times New Roman" w:hAnsi="Times New Roman"/>
          <w:lang w:val="pt-BR"/>
        </w:rPr>
        <w:t xml:space="preserve"> sendo que 5 (13</w:t>
      </w:r>
      <w:r w:rsidR="00DE6C92" w:rsidRPr="002120E3">
        <w:rPr>
          <w:rFonts w:ascii="Times New Roman" w:hAnsi="Times New Roman"/>
          <w:lang w:val="pt-BR"/>
        </w:rPr>
        <w:t xml:space="preserve">%) alunos que não participaram das monitorias </w:t>
      </w:r>
      <w:r w:rsidR="00476875" w:rsidRPr="002120E3">
        <w:rPr>
          <w:rFonts w:ascii="Times New Roman" w:hAnsi="Times New Roman"/>
          <w:lang w:val="pt-BR"/>
        </w:rPr>
        <w:t>obtiveram aprovação na disciplina, 2 (5</w:t>
      </w:r>
      <w:r w:rsidR="00DE6C92" w:rsidRPr="002120E3">
        <w:rPr>
          <w:rFonts w:ascii="Times New Roman" w:hAnsi="Times New Roman"/>
          <w:lang w:val="pt-BR"/>
        </w:rPr>
        <w:t>%) alunos foram</w:t>
      </w:r>
      <w:r w:rsidR="00476875" w:rsidRPr="002120E3">
        <w:rPr>
          <w:rFonts w:ascii="Times New Roman" w:hAnsi="Times New Roman"/>
          <w:lang w:val="pt-BR"/>
        </w:rPr>
        <w:t xml:space="preserve"> que não participaram da monitoria foram reprovados e 5 (13</w:t>
      </w:r>
      <w:r w:rsidR="00DE6C92" w:rsidRPr="002120E3">
        <w:rPr>
          <w:rFonts w:ascii="Times New Roman" w:hAnsi="Times New Roman"/>
          <w:lang w:val="pt-BR"/>
        </w:rPr>
        <w:t>%) alunos desistiram da disciplina ao decorrer do período</w:t>
      </w:r>
      <w:r w:rsidR="000345E5" w:rsidRPr="002120E3">
        <w:rPr>
          <w:rFonts w:ascii="Times New Roman" w:hAnsi="Times New Roman"/>
          <w:lang w:val="pt-BR"/>
        </w:rPr>
        <w:t>.</w:t>
      </w:r>
      <w:r w:rsidR="00DE6C92" w:rsidRPr="002120E3">
        <w:rPr>
          <w:rFonts w:ascii="Times New Roman" w:hAnsi="Times New Roman"/>
          <w:lang w:val="pt-BR"/>
        </w:rPr>
        <w:t xml:space="preserve"> </w:t>
      </w:r>
    </w:p>
    <w:p w:rsidR="009B3EA6" w:rsidRPr="002120E3" w:rsidRDefault="00737534" w:rsidP="002120E3">
      <w:pPr>
        <w:spacing w:line="360" w:lineRule="auto"/>
        <w:jc w:val="both"/>
        <w:rPr>
          <w:rFonts w:ascii="Times New Roman" w:hAnsi="Times New Roman"/>
          <w:lang w:val="pt-BR"/>
        </w:rPr>
      </w:pPr>
      <w:r w:rsidRPr="002120E3">
        <w:rPr>
          <w:rFonts w:ascii="Times New Roman" w:hAnsi="Times New Roman"/>
          <w:lang w:val="pt-BR"/>
        </w:rPr>
        <w:lastRenderedPageBreak/>
        <w:t xml:space="preserve">     </w:t>
      </w:r>
      <w:r w:rsidR="005234FF" w:rsidRPr="002120E3">
        <w:rPr>
          <w:rFonts w:ascii="Times New Roman" w:hAnsi="Times New Roman"/>
          <w:noProof/>
          <w:lang w:val="pt-BR" w:eastAsia="pt-BR" w:bidi="ar-SA"/>
        </w:rPr>
        <w:drawing>
          <wp:inline distT="0" distB="0" distL="0" distR="0">
            <wp:extent cx="2171700" cy="1473200"/>
            <wp:effectExtent l="19050" t="0" r="19050" b="0"/>
            <wp:docPr id="4"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F7445D" w:rsidRPr="002120E3">
        <w:rPr>
          <w:rFonts w:ascii="Times New Roman" w:hAnsi="Times New Roman"/>
          <w:lang w:val="pt-BR"/>
        </w:rPr>
        <w:t xml:space="preserve">                  </w:t>
      </w:r>
      <w:r w:rsidR="00F7445D" w:rsidRPr="002120E3">
        <w:rPr>
          <w:rFonts w:ascii="Times New Roman" w:hAnsi="Times New Roman"/>
          <w:noProof/>
          <w:lang w:val="pt-BR" w:eastAsia="pt-BR" w:bidi="ar-SA"/>
        </w:rPr>
        <w:drawing>
          <wp:inline distT="0" distB="0" distL="0" distR="0">
            <wp:extent cx="2317750" cy="1473200"/>
            <wp:effectExtent l="19050" t="0" r="25400" b="0"/>
            <wp:docPr id="8"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EA0C11" w:rsidRPr="002120E3">
        <w:rPr>
          <w:rFonts w:ascii="Times New Roman" w:hAnsi="Times New Roman"/>
          <w:b/>
          <w:color w:val="FF0000"/>
          <w:lang w:val="pt-BR"/>
        </w:rPr>
        <w:t>Gráfico</w:t>
      </w:r>
      <w:r w:rsidRPr="002120E3">
        <w:rPr>
          <w:rFonts w:ascii="Times New Roman" w:hAnsi="Times New Roman"/>
          <w:b/>
          <w:color w:val="FF0000"/>
          <w:lang w:val="pt-BR"/>
        </w:rPr>
        <w:t xml:space="preserve"> 1:</w:t>
      </w:r>
      <w:r w:rsidRPr="002120E3">
        <w:rPr>
          <w:rFonts w:ascii="Times New Roman" w:hAnsi="Times New Roman"/>
          <w:b/>
          <w:lang w:val="pt-BR"/>
        </w:rPr>
        <w:t xml:space="preserve"> Resultados Finais da turma 2012.1 de Agronomia.    </w:t>
      </w:r>
      <w:r w:rsidR="00DE6C92" w:rsidRPr="002120E3">
        <w:rPr>
          <w:rFonts w:ascii="Times New Roman" w:hAnsi="Times New Roman"/>
          <w:b/>
          <w:lang w:val="pt-BR"/>
        </w:rPr>
        <w:t xml:space="preserve">                      </w:t>
      </w:r>
      <w:r w:rsidR="00EA0C11" w:rsidRPr="002120E3">
        <w:rPr>
          <w:rFonts w:ascii="Times New Roman" w:hAnsi="Times New Roman"/>
          <w:b/>
          <w:color w:val="FF0000"/>
          <w:lang w:val="pt-BR"/>
        </w:rPr>
        <w:t>Gráfico</w:t>
      </w:r>
      <w:r w:rsidRPr="002120E3">
        <w:rPr>
          <w:rFonts w:ascii="Times New Roman" w:hAnsi="Times New Roman"/>
          <w:b/>
          <w:color w:val="FF0000"/>
          <w:lang w:val="pt-BR"/>
        </w:rPr>
        <w:t xml:space="preserve"> 2: </w:t>
      </w:r>
      <w:r w:rsidRPr="002120E3">
        <w:rPr>
          <w:rFonts w:ascii="Times New Roman" w:hAnsi="Times New Roman"/>
          <w:b/>
          <w:color w:val="000000" w:themeColor="text1"/>
          <w:lang w:val="pt-BR"/>
        </w:rPr>
        <w:t>Frequ</w:t>
      </w:r>
      <w:r w:rsidR="00DE6C92" w:rsidRPr="002120E3">
        <w:rPr>
          <w:rFonts w:ascii="Times New Roman" w:hAnsi="Times New Roman"/>
          <w:b/>
          <w:color w:val="000000" w:themeColor="text1"/>
          <w:lang w:val="pt-BR"/>
        </w:rPr>
        <w:t>ência dos alunos</w:t>
      </w:r>
      <w:r w:rsidRPr="002120E3">
        <w:rPr>
          <w:rFonts w:ascii="Times New Roman" w:hAnsi="Times New Roman"/>
          <w:b/>
          <w:color w:val="000000" w:themeColor="text1"/>
          <w:lang w:val="pt-BR"/>
        </w:rPr>
        <w:t xml:space="preserve"> da monitoria</w:t>
      </w:r>
      <w:r w:rsidR="00476875" w:rsidRPr="002120E3">
        <w:rPr>
          <w:rFonts w:ascii="Times New Roman" w:hAnsi="Times New Roman"/>
          <w:b/>
          <w:color w:val="000000" w:themeColor="text1"/>
          <w:lang w:val="pt-BR"/>
        </w:rPr>
        <w:t>.</w:t>
      </w:r>
    </w:p>
    <w:p w:rsidR="009B3EA6" w:rsidRPr="002120E3" w:rsidRDefault="009B3EA6" w:rsidP="002120E3">
      <w:pPr>
        <w:spacing w:line="360" w:lineRule="auto"/>
        <w:jc w:val="both"/>
        <w:rPr>
          <w:rFonts w:ascii="Times New Roman" w:hAnsi="Times New Roman"/>
          <w:lang w:val="pt-BR"/>
        </w:rPr>
      </w:pPr>
    </w:p>
    <w:p w:rsidR="00DC3DD6" w:rsidRPr="002120E3" w:rsidRDefault="000345E5" w:rsidP="002120E3">
      <w:pPr>
        <w:spacing w:line="360" w:lineRule="auto"/>
        <w:ind w:firstLine="708"/>
        <w:jc w:val="both"/>
        <w:rPr>
          <w:rFonts w:ascii="Times New Roman" w:hAnsi="Times New Roman"/>
          <w:lang w:val="pt-BR"/>
        </w:rPr>
      </w:pPr>
      <w:r w:rsidRPr="002120E3">
        <w:rPr>
          <w:rFonts w:ascii="Times New Roman" w:hAnsi="Times New Roman"/>
          <w:lang w:val="pt-BR"/>
        </w:rPr>
        <w:t xml:space="preserve">Durante o período letivo de 2012.2 estavam matriculados </w:t>
      </w:r>
      <w:r w:rsidR="003E5E72" w:rsidRPr="002120E3">
        <w:rPr>
          <w:rFonts w:ascii="Times New Roman" w:hAnsi="Times New Roman"/>
          <w:lang w:val="pt-BR"/>
        </w:rPr>
        <w:t>36</w:t>
      </w:r>
      <w:r w:rsidRPr="002120E3">
        <w:rPr>
          <w:rFonts w:ascii="Times New Roman" w:hAnsi="Times New Roman"/>
          <w:lang w:val="pt-BR"/>
        </w:rPr>
        <w:t xml:space="preserve"> alunos na disciplina de anatomia e fisiologia dos animais domésticos. Dos alunos </w:t>
      </w:r>
      <w:r w:rsidR="003E5E72" w:rsidRPr="002120E3">
        <w:rPr>
          <w:rFonts w:ascii="Times New Roman" w:hAnsi="Times New Roman"/>
          <w:lang w:val="pt-BR"/>
        </w:rPr>
        <w:t>que concluíram a disciplina, 24 (35</w:t>
      </w:r>
      <w:r w:rsidRPr="002120E3">
        <w:rPr>
          <w:rFonts w:ascii="Times New Roman" w:hAnsi="Times New Roman"/>
          <w:lang w:val="pt-BR"/>
        </w:rPr>
        <w:t xml:space="preserve">%) alunos foram </w:t>
      </w:r>
      <w:r w:rsidR="003E5E72" w:rsidRPr="002120E3">
        <w:rPr>
          <w:rFonts w:ascii="Times New Roman" w:hAnsi="Times New Roman"/>
          <w:lang w:val="pt-BR"/>
        </w:rPr>
        <w:t>aprovados por média, cerca de 7</w:t>
      </w:r>
      <w:r w:rsidRPr="002120E3">
        <w:rPr>
          <w:rFonts w:ascii="Times New Roman" w:hAnsi="Times New Roman"/>
          <w:lang w:val="pt-BR"/>
        </w:rPr>
        <w:t xml:space="preserve"> </w:t>
      </w:r>
      <w:r w:rsidR="003E5E72" w:rsidRPr="002120E3">
        <w:rPr>
          <w:rFonts w:ascii="Times New Roman" w:hAnsi="Times New Roman"/>
          <w:lang w:val="pt-BR"/>
        </w:rPr>
        <w:t>(11</w:t>
      </w:r>
      <w:r w:rsidRPr="002120E3">
        <w:rPr>
          <w:rFonts w:ascii="Times New Roman" w:hAnsi="Times New Roman"/>
          <w:lang w:val="pt-BR"/>
        </w:rPr>
        <w:t>%) alunos estiveram aptos a fazer exame final, sendo que todos foram aprovados. Apenas</w:t>
      </w:r>
      <w:r w:rsidR="003E5E72" w:rsidRPr="002120E3">
        <w:rPr>
          <w:rFonts w:ascii="Times New Roman" w:hAnsi="Times New Roman"/>
          <w:lang w:val="pt-BR"/>
        </w:rPr>
        <w:t xml:space="preserve"> 3 (5</w:t>
      </w:r>
      <w:r w:rsidRPr="002120E3">
        <w:rPr>
          <w:rFonts w:ascii="Times New Roman" w:hAnsi="Times New Roman"/>
          <w:lang w:val="pt-BR"/>
        </w:rPr>
        <w:t xml:space="preserve">%) alunos foram reprovados, </w:t>
      </w:r>
      <w:r w:rsidR="003E5E72" w:rsidRPr="002120E3">
        <w:rPr>
          <w:rFonts w:ascii="Times New Roman" w:hAnsi="Times New Roman"/>
          <w:lang w:val="pt-BR"/>
        </w:rPr>
        <w:t>sendo que 2 (3</w:t>
      </w:r>
      <w:r w:rsidRPr="002120E3">
        <w:rPr>
          <w:rFonts w:ascii="Times New Roman" w:hAnsi="Times New Roman"/>
          <w:lang w:val="pt-BR"/>
        </w:rPr>
        <w:t xml:space="preserve">%) alunos abandonaram a disciplina no decorrer do semestre. </w:t>
      </w:r>
      <w:r w:rsidR="003E5E72" w:rsidRPr="002120E3">
        <w:rPr>
          <w:rFonts w:ascii="Times New Roman" w:hAnsi="Times New Roman"/>
          <w:lang w:val="pt-BR"/>
        </w:rPr>
        <w:t>Por fim destes 36</w:t>
      </w:r>
      <w:r w:rsidRPr="002120E3">
        <w:rPr>
          <w:rFonts w:ascii="Times New Roman" w:hAnsi="Times New Roman"/>
          <w:lang w:val="pt-BR"/>
        </w:rPr>
        <w:t xml:space="preserve"> alunos, </w:t>
      </w:r>
      <w:r w:rsidR="003E5E72" w:rsidRPr="002120E3">
        <w:rPr>
          <w:rFonts w:ascii="Times New Roman" w:hAnsi="Times New Roman"/>
          <w:lang w:val="pt-BR"/>
        </w:rPr>
        <w:t>31 (46</w:t>
      </w:r>
      <w:r w:rsidRPr="002120E3">
        <w:rPr>
          <w:rFonts w:ascii="Times New Roman" w:hAnsi="Times New Roman"/>
          <w:lang w:val="pt-BR"/>
        </w:rPr>
        <w:t xml:space="preserve">%) estudantes foram aprovados. </w:t>
      </w:r>
      <w:r w:rsidR="003E5E72" w:rsidRPr="002120E3">
        <w:rPr>
          <w:rFonts w:ascii="Times New Roman" w:hAnsi="Times New Roman"/>
          <w:lang w:val="pt-BR"/>
        </w:rPr>
        <w:t>Para melhor compreensão estes dados foram</w:t>
      </w:r>
      <w:r w:rsidRPr="002120E3">
        <w:rPr>
          <w:rFonts w:ascii="Times New Roman" w:hAnsi="Times New Roman"/>
          <w:lang w:val="pt-BR"/>
        </w:rPr>
        <w:t xml:space="preserve"> esqu</w:t>
      </w:r>
      <w:r w:rsidR="00EA0C11" w:rsidRPr="002120E3">
        <w:rPr>
          <w:rFonts w:ascii="Times New Roman" w:hAnsi="Times New Roman"/>
          <w:lang w:val="pt-BR"/>
        </w:rPr>
        <w:t>ematizados em forma de gráfico 3</w:t>
      </w:r>
      <w:r w:rsidRPr="002120E3">
        <w:rPr>
          <w:rFonts w:ascii="Times New Roman" w:hAnsi="Times New Roman"/>
          <w:lang w:val="pt-BR"/>
        </w:rPr>
        <w:t xml:space="preserve">.  </w:t>
      </w:r>
      <w:r w:rsidR="0051722E" w:rsidRPr="002120E3">
        <w:rPr>
          <w:rFonts w:ascii="Times New Roman" w:hAnsi="Times New Roman"/>
          <w:lang w:val="pt-BR"/>
        </w:rPr>
        <w:t>Diante da participação dos alunos na monitoria podemos observar que dos 36</w:t>
      </w:r>
      <w:r w:rsidRPr="002120E3">
        <w:rPr>
          <w:rFonts w:ascii="Times New Roman" w:hAnsi="Times New Roman"/>
          <w:lang w:val="pt-BR"/>
        </w:rPr>
        <w:t xml:space="preserve"> alunos matriculados na disciplina</w:t>
      </w:r>
      <w:r w:rsidR="0051722E" w:rsidRPr="002120E3">
        <w:rPr>
          <w:rFonts w:ascii="Times New Roman" w:hAnsi="Times New Roman"/>
          <w:lang w:val="pt-BR"/>
        </w:rPr>
        <w:t>,</w:t>
      </w:r>
      <w:r w:rsidRPr="002120E3">
        <w:rPr>
          <w:rFonts w:ascii="Times New Roman" w:hAnsi="Times New Roman"/>
          <w:lang w:val="pt-BR"/>
        </w:rPr>
        <w:t xml:space="preserve"> 26 (69 %) alunos </w:t>
      </w:r>
      <w:r w:rsidR="0051722E" w:rsidRPr="002120E3">
        <w:rPr>
          <w:rFonts w:ascii="Times New Roman" w:hAnsi="Times New Roman"/>
          <w:lang w:val="pt-BR"/>
        </w:rPr>
        <w:t>que frequentavam a</w:t>
      </w:r>
      <w:r w:rsidR="00DC3DD6" w:rsidRPr="002120E3">
        <w:rPr>
          <w:rFonts w:ascii="Times New Roman" w:hAnsi="Times New Roman"/>
          <w:lang w:val="pt-BR"/>
        </w:rPr>
        <w:t>s</w:t>
      </w:r>
      <w:r w:rsidRPr="002120E3">
        <w:rPr>
          <w:rFonts w:ascii="Times New Roman" w:hAnsi="Times New Roman"/>
          <w:lang w:val="pt-BR"/>
        </w:rPr>
        <w:t xml:space="preserve"> monitorias foram aprovados</w:t>
      </w:r>
      <w:r w:rsidR="0051722E" w:rsidRPr="002120E3">
        <w:rPr>
          <w:rFonts w:ascii="Times New Roman" w:hAnsi="Times New Roman"/>
          <w:lang w:val="pt-BR"/>
        </w:rPr>
        <w:t xml:space="preserve"> por média</w:t>
      </w:r>
      <w:r w:rsidRPr="002120E3">
        <w:rPr>
          <w:rFonts w:ascii="Times New Roman" w:hAnsi="Times New Roman"/>
          <w:lang w:val="pt-BR"/>
        </w:rPr>
        <w:t>, sendo que</w:t>
      </w:r>
      <w:r w:rsidR="0051722E" w:rsidRPr="002120E3">
        <w:rPr>
          <w:rFonts w:ascii="Times New Roman" w:hAnsi="Times New Roman"/>
          <w:lang w:val="pt-BR"/>
        </w:rPr>
        <w:t xml:space="preserve"> 11</w:t>
      </w:r>
      <w:r w:rsidRPr="002120E3">
        <w:rPr>
          <w:rFonts w:ascii="Times New Roman" w:hAnsi="Times New Roman"/>
          <w:lang w:val="pt-BR"/>
        </w:rPr>
        <w:t xml:space="preserve"> (</w:t>
      </w:r>
      <w:r w:rsidR="0051722E" w:rsidRPr="002120E3">
        <w:rPr>
          <w:rFonts w:ascii="Times New Roman" w:hAnsi="Times New Roman"/>
          <w:lang w:val="pt-BR"/>
        </w:rPr>
        <w:t>31</w:t>
      </w:r>
      <w:r w:rsidRPr="002120E3">
        <w:rPr>
          <w:rFonts w:ascii="Times New Roman" w:hAnsi="Times New Roman"/>
          <w:lang w:val="pt-BR"/>
        </w:rPr>
        <w:t>%) alunos que não participaram das monitorias obtiveram aprovação</w:t>
      </w:r>
      <w:r w:rsidR="0051722E" w:rsidRPr="002120E3">
        <w:rPr>
          <w:rFonts w:ascii="Times New Roman" w:hAnsi="Times New Roman"/>
          <w:lang w:val="pt-BR"/>
        </w:rPr>
        <w:t xml:space="preserve"> na disciplina, </w:t>
      </w:r>
      <w:r w:rsidR="00DC3DD6" w:rsidRPr="002120E3">
        <w:rPr>
          <w:rFonts w:ascii="Times New Roman" w:hAnsi="Times New Roman"/>
          <w:lang w:val="pt-BR"/>
        </w:rPr>
        <w:t xml:space="preserve">somente </w:t>
      </w:r>
      <w:r w:rsidR="0051722E" w:rsidRPr="002120E3">
        <w:rPr>
          <w:rFonts w:ascii="Times New Roman" w:hAnsi="Times New Roman"/>
          <w:lang w:val="pt-BR"/>
        </w:rPr>
        <w:t>1 (3%) aluno</w:t>
      </w:r>
      <w:r w:rsidRPr="002120E3">
        <w:rPr>
          <w:rFonts w:ascii="Times New Roman" w:hAnsi="Times New Roman"/>
          <w:lang w:val="pt-BR"/>
        </w:rPr>
        <w:t xml:space="preserve"> </w:t>
      </w:r>
      <w:r w:rsidR="0051722E" w:rsidRPr="002120E3">
        <w:rPr>
          <w:rFonts w:ascii="Times New Roman" w:hAnsi="Times New Roman"/>
          <w:lang w:val="pt-BR"/>
        </w:rPr>
        <w:t>que não participou</w:t>
      </w:r>
      <w:r w:rsidRPr="002120E3">
        <w:rPr>
          <w:rFonts w:ascii="Times New Roman" w:hAnsi="Times New Roman"/>
          <w:lang w:val="pt-BR"/>
        </w:rPr>
        <w:t xml:space="preserve"> da monitoria </w:t>
      </w:r>
      <w:r w:rsidR="0051722E" w:rsidRPr="002120E3">
        <w:rPr>
          <w:rFonts w:ascii="Times New Roman" w:hAnsi="Times New Roman"/>
          <w:lang w:val="pt-BR"/>
        </w:rPr>
        <w:t>foi reprovado, sendo que 2 (6%) dos alunos que estiver</w:t>
      </w:r>
      <w:r w:rsidR="00DC3DD6" w:rsidRPr="002120E3">
        <w:rPr>
          <w:rFonts w:ascii="Times New Roman" w:hAnsi="Times New Roman"/>
          <w:lang w:val="pt-BR"/>
        </w:rPr>
        <w:t>am presente na monitoria foram reprovados</w:t>
      </w:r>
      <w:r w:rsidRPr="002120E3">
        <w:rPr>
          <w:rFonts w:ascii="Times New Roman" w:hAnsi="Times New Roman"/>
          <w:lang w:val="pt-BR"/>
        </w:rPr>
        <w:t xml:space="preserve"> e </w:t>
      </w:r>
      <w:r w:rsidR="00DC3DD6" w:rsidRPr="002120E3">
        <w:rPr>
          <w:rFonts w:ascii="Times New Roman" w:hAnsi="Times New Roman"/>
          <w:lang w:val="pt-BR"/>
        </w:rPr>
        <w:t>apenas 2 (6</w:t>
      </w:r>
      <w:r w:rsidRPr="002120E3">
        <w:rPr>
          <w:rFonts w:ascii="Times New Roman" w:hAnsi="Times New Roman"/>
          <w:lang w:val="pt-BR"/>
        </w:rPr>
        <w:t>%) alunos desistiram da</w:t>
      </w:r>
      <w:r w:rsidR="00DC3DD6" w:rsidRPr="002120E3">
        <w:rPr>
          <w:rFonts w:ascii="Times New Roman" w:hAnsi="Times New Roman"/>
          <w:lang w:val="pt-BR"/>
        </w:rPr>
        <w:t xml:space="preserve"> disciplina. Est</w:t>
      </w:r>
      <w:r w:rsidR="00CA6B19" w:rsidRPr="002120E3">
        <w:rPr>
          <w:rFonts w:ascii="Times New Roman" w:hAnsi="Times New Roman"/>
          <w:lang w:val="pt-BR"/>
        </w:rPr>
        <w:t>es dados estão esquematizados no</w:t>
      </w:r>
      <w:r w:rsidR="00DC3DD6" w:rsidRPr="002120E3">
        <w:rPr>
          <w:rFonts w:ascii="Times New Roman" w:hAnsi="Times New Roman"/>
          <w:lang w:val="pt-BR"/>
        </w:rPr>
        <w:t xml:space="preserve"> </w:t>
      </w:r>
      <w:r w:rsidR="00EA0C11" w:rsidRPr="002120E3">
        <w:rPr>
          <w:rFonts w:ascii="Times New Roman" w:hAnsi="Times New Roman"/>
          <w:lang w:val="pt-BR"/>
        </w:rPr>
        <w:t>gráfico</w:t>
      </w:r>
      <w:r w:rsidR="00DC3DD6" w:rsidRPr="002120E3">
        <w:rPr>
          <w:rFonts w:ascii="Times New Roman" w:hAnsi="Times New Roman"/>
          <w:lang w:val="pt-BR"/>
        </w:rPr>
        <w:t xml:space="preserve"> 4. </w:t>
      </w:r>
    </w:p>
    <w:p w:rsidR="009B3EA6" w:rsidRPr="002120E3" w:rsidRDefault="00476875" w:rsidP="002120E3">
      <w:pPr>
        <w:spacing w:line="360" w:lineRule="auto"/>
        <w:jc w:val="both"/>
        <w:rPr>
          <w:rFonts w:ascii="Times New Roman" w:hAnsi="Times New Roman"/>
          <w:b/>
          <w:lang w:val="pt-BR"/>
        </w:rPr>
      </w:pPr>
      <w:r w:rsidRPr="002120E3">
        <w:rPr>
          <w:rFonts w:ascii="Times New Roman" w:hAnsi="Times New Roman"/>
          <w:noProof/>
          <w:lang w:val="pt-BR" w:eastAsia="pt-BR" w:bidi="ar-SA"/>
        </w:rPr>
        <w:lastRenderedPageBreak/>
        <w:drawing>
          <wp:inline distT="0" distB="0" distL="0" distR="0">
            <wp:extent cx="2355850" cy="1498600"/>
            <wp:effectExtent l="19050" t="0" r="25400" b="6350"/>
            <wp:docPr id="12"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0345E5" w:rsidRPr="002120E3">
        <w:rPr>
          <w:rFonts w:ascii="Times New Roman" w:hAnsi="Times New Roman"/>
          <w:lang w:val="pt-BR"/>
        </w:rPr>
        <w:t xml:space="preserve">            </w:t>
      </w:r>
      <w:r w:rsidR="000345E5" w:rsidRPr="002120E3">
        <w:rPr>
          <w:rFonts w:ascii="Times New Roman" w:hAnsi="Times New Roman"/>
          <w:noProof/>
          <w:lang w:val="pt-BR" w:eastAsia="pt-BR" w:bidi="ar-SA"/>
        </w:rPr>
        <w:drawing>
          <wp:inline distT="0" distB="0" distL="0" distR="0">
            <wp:extent cx="2406650" cy="1498600"/>
            <wp:effectExtent l="19050" t="0" r="12700" b="6350"/>
            <wp:docPr id="14"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DC3DD6" w:rsidRPr="002120E3">
        <w:rPr>
          <w:rFonts w:ascii="Times New Roman" w:hAnsi="Times New Roman"/>
          <w:b/>
          <w:color w:val="FF0000"/>
          <w:lang w:val="pt-BR"/>
        </w:rPr>
        <w:t xml:space="preserve"> Figura 3:</w:t>
      </w:r>
      <w:r w:rsidR="00DC3DD6" w:rsidRPr="002120E3">
        <w:rPr>
          <w:rFonts w:ascii="Times New Roman" w:hAnsi="Times New Roman"/>
          <w:b/>
          <w:lang w:val="pt-BR"/>
        </w:rPr>
        <w:t xml:space="preserve"> Resultados Finais da turma 2012.2 de Agronomia.                          </w:t>
      </w:r>
      <w:r w:rsidR="00DC3DD6" w:rsidRPr="002120E3">
        <w:rPr>
          <w:rFonts w:ascii="Times New Roman" w:hAnsi="Times New Roman"/>
          <w:b/>
          <w:color w:val="FF0000"/>
          <w:lang w:val="pt-BR"/>
        </w:rPr>
        <w:t xml:space="preserve">Figura 4: </w:t>
      </w:r>
      <w:r w:rsidR="00DC3DD6" w:rsidRPr="002120E3">
        <w:rPr>
          <w:rFonts w:ascii="Times New Roman" w:hAnsi="Times New Roman"/>
          <w:b/>
          <w:color w:val="000000" w:themeColor="text1"/>
          <w:lang w:val="pt-BR"/>
        </w:rPr>
        <w:t>Frequência dos alunos na monitoria.</w:t>
      </w:r>
    </w:p>
    <w:p w:rsidR="00DC3DD6" w:rsidRPr="002120E3" w:rsidRDefault="00DC3DD6" w:rsidP="002120E3">
      <w:pPr>
        <w:spacing w:line="360" w:lineRule="auto"/>
        <w:jc w:val="both"/>
        <w:rPr>
          <w:rFonts w:ascii="Times New Roman" w:hAnsi="Times New Roman"/>
          <w:lang w:val="pt-BR"/>
        </w:rPr>
      </w:pPr>
    </w:p>
    <w:p w:rsidR="00DC3DD6" w:rsidRPr="002120E3" w:rsidRDefault="00DC3DD6" w:rsidP="002120E3">
      <w:pPr>
        <w:spacing w:line="360" w:lineRule="auto"/>
        <w:jc w:val="both"/>
        <w:rPr>
          <w:rFonts w:ascii="Times New Roman" w:hAnsi="Times New Roman"/>
          <w:lang w:val="pt-BR"/>
        </w:rPr>
      </w:pPr>
      <w:r w:rsidRPr="002120E3">
        <w:rPr>
          <w:rFonts w:ascii="Times New Roman" w:hAnsi="Times New Roman"/>
          <w:lang w:val="pt-BR"/>
        </w:rPr>
        <w:t>Comparando os dados das turmas de agronomia durante os períodos de 2012.1 e 2010.2 observamos os seguintes resultados:</w:t>
      </w:r>
    </w:p>
    <w:p w:rsidR="00EA0C11" w:rsidRPr="002120E3" w:rsidRDefault="00EA0C11" w:rsidP="002120E3">
      <w:pPr>
        <w:spacing w:line="360" w:lineRule="auto"/>
        <w:jc w:val="both"/>
        <w:rPr>
          <w:rFonts w:ascii="Times New Roman" w:hAnsi="Times New Roman"/>
          <w:lang w:val="pt-BR"/>
        </w:rPr>
      </w:pPr>
    </w:p>
    <w:tbl>
      <w:tblPr>
        <w:tblStyle w:val="SombreamentoClaro"/>
        <w:tblW w:w="9073" w:type="dxa"/>
        <w:tblLook w:val="04A0"/>
      </w:tblPr>
      <w:tblGrid>
        <w:gridCol w:w="1101"/>
        <w:gridCol w:w="1909"/>
        <w:gridCol w:w="1545"/>
        <w:gridCol w:w="1506"/>
        <w:gridCol w:w="1506"/>
        <w:gridCol w:w="1506"/>
      </w:tblGrid>
      <w:tr w:rsidR="003911B4" w:rsidRPr="002120E3" w:rsidTr="00EA0C11">
        <w:trPr>
          <w:cnfStyle w:val="100000000000"/>
          <w:trHeight w:val="790"/>
        </w:trPr>
        <w:tc>
          <w:tcPr>
            <w:cnfStyle w:val="001000000000"/>
            <w:tcW w:w="1101" w:type="dxa"/>
          </w:tcPr>
          <w:p w:rsidR="003911B4" w:rsidRPr="002120E3" w:rsidRDefault="003911B4" w:rsidP="002120E3">
            <w:pPr>
              <w:spacing w:line="360" w:lineRule="auto"/>
              <w:jc w:val="center"/>
              <w:rPr>
                <w:rFonts w:ascii="Times New Roman" w:hAnsi="Times New Roman"/>
                <w:lang w:val="pt-BR"/>
              </w:rPr>
            </w:pPr>
            <w:r w:rsidRPr="002120E3">
              <w:rPr>
                <w:rFonts w:ascii="Times New Roman" w:hAnsi="Times New Roman"/>
                <w:lang w:val="pt-BR"/>
              </w:rPr>
              <w:t>Turma</w:t>
            </w:r>
          </w:p>
        </w:tc>
        <w:tc>
          <w:tcPr>
            <w:tcW w:w="1909" w:type="dxa"/>
          </w:tcPr>
          <w:p w:rsidR="003911B4" w:rsidRPr="002120E3" w:rsidRDefault="003911B4" w:rsidP="002120E3">
            <w:pPr>
              <w:spacing w:line="360" w:lineRule="auto"/>
              <w:jc w:val="center"/>
              <w:cnfStyle w:val="100000000000"/>
              <w:rPr>
                <w:rFonts w:ascii="Times New Roman" w:hAnsi="Times New Roman"/>
                <w:b w:val="0"/>
                <w:lang w:val="pt-BR"/>
              </w:rPr>
            </w:pPr>
            <w:r w:rsidRPr="002120E3">
              <w:rPr>
                <w:rFonts w:ascii="Times New Roman" w:hAnsi="Times New Roman"/>
                <w:b w:val="0"/>
                <w:lang w:val="pt-BR"/>
              </w:rPr>
              <w:t>Alunos Aprovados por média (%)</w:t>
            </w:r>
          </w:p>
        </w:tc>
        <w:tc>
          <w:tcPr>
            <w:tcW w:w="1545" w:type="dxa"/>
          </w:tcPr>
          <w:p w:rsidR="003911B4" w:rsidRPr="002120E3" w:rsidRDefault="003911B4" w:rsidP="002120E3">
            <w:pPr>
              <w:spacing w:line="360" w:lineRule="auto"/>
              <w:jc w:val="center"/>
              <w:cnfStyle w:val="100000000000"/>
              <w:rPr>
                <w:rFonts w:ascii="Times New Roman" w:hAnsi="Times New Roman"/>
                <w:b w:val="0"/>
                <w:lang w:val="pt-BR"/>
              </w:rPr>
            </w:pPr>
            <w:r w:rsidRPr="002120E3">
              <w:rPr>
                <w:rFonts w:ascii="Times New Roman" w:hAnsi="Times New Roman"/>
                <w:b w:val="0"/>
                <w:lang w:val="pt-BR"/>
              </w:rPr>
              <w:t>Alunos Reprovados (%)</w:t>
            </w:r>
          </w:p>
        </w:tc>
        <w:tc>
          <w:tcPr>
            <w:tcW w:w="1506" w:type="dxa"/>
          </w:tcPr>
          <w:p w:rsidR="003911B4" w:rsidRPr="002120E3" w:rsidRDefault="00997AD3" w:rsidP="002120E3">
            <w:pPr>
              <w:spacing w:line="360" w:lineRule="auto"/>
              <w:jc w:val="center"/>
              <w:cnfStyle w:val="100000000000"/>
              <w:rPr>
                <w:rFonts w:ascii="Times New Roman" w:hAnsi="Times New Roman"/>
                <w:b w:val="0"/>
                <w:lang w:val="pt-BR"/>
              </w:rPr>
            </w:pPr>
            <w:r w:rsidRPr="002120E3">
              <w:rPr>
                <w:rFonts w:ascii="Times New Roman" w:hAnsi="Times New Roman"/>
                <w:b w:val="0"/>
                <w:lang w:val="pt-BR"/>
              </w:rPr>
              <w:t>Alunos Aptos a F</w:t>
            </w:r>
            <w:r w:rsidR="003911B4" w:rsidRPr="002120E3">
              <w:rPr>
                <w:rFonts w:ascii="Times New Roman" w:hAnsi="Times New Roman"/>
                <w:b w:val="0"/>
                <w:lang w:val="pt-BR"/>
              </w:rPr>
              <w:t>azer Final (%)</w:t>
            </w:r>
          </w:p>
        </w:tc>
        <w:tc>
          <w:tcPr>
            <w:tcW w:w="1506" w:type="dxa"/>
          </w:tcPr>
          <w:p w:rsidR="003911B4" w:rsidRPr="002120E3" w:rsidRDefault="003911B4" w:rsidP="002120E3">
            <w:pPr>
              <w:spacing w:line="360" w:lineRule="auto"/>
              <w:jc w:val="center"/>
              <w:cnfStyle w:val="100000000000"/>
              <w:rPr>
                <w:rFonts w:ascii="Times New Roman" w:hAnsi="Times New Roman"/>
                <w:b w:val="0"/>
                <w:lang w:val="pt-BR"/>
              </w:rPr>
            </w:pPr>
            <w:r w:rsidRPr="002120E3">
              <w:rPr>
                <w:rFonts w:ascii="Times New Roman" w:hAnsi="Times New Roman"/>
                <w:b w:val="0"/>
                <w:lang w:val="pt-BR"/>
              </w:rPr>
              <w:t>Alunos Desistentes (%)</w:t>
            </w:r>
          </w:p>
        </w:tc>
        <w:tc>
          <w:tcPr>
            <w:tcW w:w="1506" w:type="dxa"/>
          </w:tcPr>
          <w:p w:rsidR="003911B4" w:rsidRPr="002120E3" w:rsidRDefault="003911B4" w:rsidP="002120E3">
            <w:pPr>
              <w:spacing w:line="360" w:lineRule="auto"/>
              <w:jc w:val="center"/>
              <w:cnfStyle w:val="100000000000"/>
              <w:rPr>
                <w:rFonts w:ascii="Times New Roman" w:hAnsi="Times New Roman"/>
                <w:b w:val="0"/>
                <w:lang w:val="pt-BR"/>
              </w:rPr>
            </w:pPr>
            <w:r w:rsidRPr="002120E3">
              <w:rPr>
                <w:rFonts w:ascii="Times New Roman" w:hAnsi="Times New Roman"/>
                <w:b w:val="0"/>
                <w:lang w:val="pt-BR"/>
              </w:rPr>
              <w:t>Aprovação Total (%)</w:t>
            </w:r>
          </w:p>
        </w:tc>
      </w:tr>
      <w:tr w:rsidR="003911B4" w:rsidRPr="002120E3" w:rsidTr="00EA0C11">
        <w:trPr>
          <w:cnfStyle w:val="000000100000"/>
          <w:trHeight w:val="387"/>
        </w:trPr>
        <w:tc>
          <w:tcPr>
            <w:cnfStyle w:val="001000000000"/>
            <w:tcW w:w="1101" w:type="dxa"/>
          </w:tcPr>
          <w:p w:rsidR="003911B4" w:rsidRPr="002120E3" w:rsidRDefault="003911B4" w:rsidP="002120E3">
            <w:pPr>
              <w:spacing w:line="360" w:lineRule="auto"/>
              <w:jc w:val="center"/>
              <w:rPr>
                <w:rFonts w:ascii="Times New Roman" w:hAnsi="Times New Roman"/>
                <w:i/>
                <w:lang w:val="pt-BR"/>
              </w:rPr>
            </w:pPr>
            <w:r w:rsidRPr="002120E3">
              <w:rPr>
                <w:rFonts w:ascii="Times New Roman" w:hAnsi="Times New Roman"/>
                <w:i/>
                <w:lang w:val="pt-BR"/>
              </w:rPr>
              <w:t>2012.1</w:t>
            </w:r>
          </w:p>
        </w:tc>
        <w:tc>
          <w:tcPr>
            <w:tcW w:w="1909" w:type="dxa"/>
          </w:tcPr>
          <w:p w:rsidR="003911B4" w:rsidRPr="002120E3" w:rsidRDefault="003911B4" w:rsidP="002120E3">
            <w:pPr>
              <w:spacing w:line="360" w:lineRule="auto"/>
              <w:jc w:val="center"/>
              <w:cnfStyle w:val="000000100000"/>
              <w:rPr>
                <w:rFonts w:ascii="Times New Roman" w:hAnsi="Times New Roman"/>
                <w:lang w:val="pt-BR"/>
              </w:rPr>
            </w:pPr>
            <w:r w:rsidRPr="002120E3">
              <w:rPr>
                <w:rFonts w:ascii="Times New Roman" w:hAnsi="Times New Roman"/>
                <w:lang w:val="pt-BR"/>
              </w:rPr>
              <w:t>34%</w:t>
            </w:r>
          </w:p>
        </w:tc>
        <w:tc>
          <w:tcPr>
            <w:tcW w:w="1545" w:type="dxa"/>
          </w:tcPr>
          <w:p w:rsidR="003911B4" w:rsidRPr="002120E3" w:rsidRDefault="003911B4" w:rsidP="002120E3">
            <w:pPr>
              <w:spacing w:line="360" w:lineRule="auto"/>
              <w:jc w:val="center"/>
              <w:cnfStyle w:val="000000100000"/>
              <w:rPr>
                <w:rFonts w:ascii="Times New Roman" w:hAnsi="Times New Roman"/>
                <w:lang w:val="pt-BR"/>
              </w:rPr>
            </w:pPr>
            <w:r w:rsidRPr="002120E3">
              <w:rPr>
                <w:rFonts w:ascii="Times New Roman" w:hAnsi="Times New Roman"/>
                <w:lang w:val="pt-BR"/>
              </w:rPr>
              <w:t>3%</w:t>
            </w:r>
          </w:p>
        </w:tc>
        <w:tc>
          <w:tcPr>
            <w:tcW w:w="1506" w:type="dxa"/>
          </w:tcPr>
          <w:p w:rsidR="003911B4" w:rsidRPr="002120E3" w:rsidRDefault="003911B4" w:rsidP="002120E3">
            <w:pPr>
              <w:spacing w:line="360" w:lineRule="auto"/>
              <w:jc w:val="center"/>
              <w:cnfStyle w:val="000000100000"/>
              <w:rPr>
                <w:rFonts w:ascii="Times New Roman" w:hAnsi="Times New Roman"/>
                <w:lang w:val="pt-BR"/>
              </w:rPr>
            </w:pPr>
            <w:r w:rsidRPr="002120E3">
              <w:rPr>
                <w:rFonts w:ascii="Times New Roman" w:hAnsi="Times New Roman"/>
                <w:lang w:val="pt-BR"/>
              </w:rPr>
              <w:t>12%</w:t>
            </w:r>
          </w:p>
        </w:tc>
        <w:tc>
          <w:tcPr>
            <w:tcW w:w="1506" w:type="dxa"/>
          </w:tcPr>
          <w:p w:rsidR="003911B4" w:rsidRPr="002120E3" w:rsidRDefault="003911B4" w:rsidP="002120E3">
            <w:pPr>
              <w:spacing w:line="360" w:lineRule="auto"/>
              <w:jc w:val="center"/>
              <w:cnfStyle w:val="000000100000"/>
              <w:rPr>
                <w:rFonts w:ascii="Times New Roman" w:hAnsi="Times New Roman"/>
                <w:lang w:val="pt-BR"/>
              </w:rPr>
            </w:pPr>
            <w:r w:rsidRPr="002120E3">
              <w:rPr>
                <w:rFonts w:ascii="Times New Roman" w:hAnsi="Times New Roman"/>
                <w:lang w:val="pt-BR"/>
              </w:rPr>
              <w:t>6%</w:t>
            </w:r>
          </w:p>
        </w:tc>
        <w:tc>
          <w:tcPr>
            <w:tcW w:w="1506" w:type="dxa"/>
          </w:tcPr>
          <w:p w:rsidR="003911B4" w:rsidRPr="002120E3" w:rsidRDefault="00EA0C11" w:rsidP="002120E3">
            <w:pPr>
              <w:spacing w:line="360" w:lineRule="auto"/>
              <w:jc w:val="center"/>
              <w:cnfStyle w:val="000000100000"/>
              <w:rPr>
                <w:rFonts w:ascii="Times New Roman" w:hAnsi="Times New Roman"/>
                <w:lang w:val="pt-BR"/>
              </w:rPr>
            </w:pPr>
            <w:r w:rsidRPr="002120E3">
              <w:rPr>
                <w:rFonts w:ascii="Times New Roman" w:hAnsi="Times New Roman"/>
                <w:lang w:val="pt-BR"/>
              </w:rPr>
              <w:t>45%</w:t>
            </w:r>
          </w:p>
        </w:tc>
      </w:tr>
      <w:tr w:rsidR="003911B4" w:rsidRPr="002120E3" w:rsidTr="00EA0C11">
        <w:trPr>
          <w:trHeight w:val="170"/>
        </w:trPr>
        <w:tc>
          <w:tcPr>
            <w:cnfStyle w:val="001000000000"/>
            <w:tcW w:w="1101" w:type="dxa"/>
          </w:tcPr>
          <w:p w:rsidR="003911B4" w:rsidRPr="002120E3" w:rsidRDefault="003911B4" w:rsidP="002120E3">
            <w:pPr>
              <w:spacing w:line="360" w:lineRule="auto"/>
              <w:jc w:val="center"/>
              <w:rPr>
                <w:rFonts w:ascii="Times New Roman" w:hAnsi="Times New Roman"/>
                <w:i/>
                <w:lang w:val="pt-BR"/>
              </w:rPr>
            </w:pPr>
            <w:r w:rsidRPr="002120E3">
              <w:rPr>
                <w:rFonts w:ascii="Times New Roman" w:hAnsi="Times New Roman"/>
                <w:i/>
                <w:lang w:val="pt-BR"/>
              </w:rPr>
              <w:t>2012.2</w:t>
            </w:r>
          </w:p>
        </w:tc>
        <w:tc>
          <w:tcPr>
            <w:tcW w:w="1909" w:type="dxa"/>
          </w:tcPr>
          <w:p w:rsidR="003911B4" w:rsidRPr="002120E3" w:rsidRDefault="003911B4" w:rsidP="002120E3">
            <w:pPr>
              <w:spacing w:line="360" w:lineRule="auto"/>
              <w:jc w:val="center"/>
              <w:cnfStyle w:val="000000000000"/>
              <w:rPr>
                <w:rFonts w:ascii="Times New Roman" w:hAnsi="Times New Roman"/>
                <w:lang w:val="pt-BR"/>
              </w:rPr>
            </w:pPr>
            <w:r w:rsidRPr="002120E3">
              <w:rPr>
                <w:rFonts w:ascii="Times New Roman" w:hAnsi="Times New Roman"/>
                <w:lang w:val="pt-BR"/>
              </w:rPr>
              <w:t>35%</w:t>
            </w:r>
          </w:p>
        </w:tc>
        <w:tc>
          <w:tcPr>
            <w:tcW w:w="1545" w:type="dxa"/>
          </w:tcPr>
          <w:p w:rsidR="003911B4" w:rsidRPr="002120E3" w:rsidRDefault="003911B4" w:rsidP="002120E3">
            <w:pPr>
              <w:spacing w:line="360" w:lineRule="auto"/>
              <w:jc w:val="center"/>
              <w:cnfStyle w:val="000000000000"/>
              <w:rPr>
                <w:rFonts w:ascii="Times New Roman" w:hAnsi="Times New Roman"/>
                <w:lang w:val="pt-BR"/>
              </w:rPr>
            </w:pPr>
            <w:r w:rsidRPr="002120E3">
              <w:rPr>
                <w:rFonts w:ascii="Times New Roman" w:hAnsi="Times New Roman"/>
                <w:lang w:val="pt-BR"/>
              </w:rPr>
              <w:t>5%</w:t>
            </w:r>
          </w:p>
        </w:tc>
        <w:tc>
          <w:tcPr>
            <w:tcW w:w="1506" w:type="dxa"/>
          </w:tcPr>
          <w:p w:rsidR="003911B4" w:rsidRPr="002120E3" w:rsidRDefault="003911B4" w:rsidP="002120E3">
            <w:pPr>
              <w:spacing w:line="360" w:lineRule="auto"/>
              <w:jc w:val="center"/>
              <w:cnfStyle w:val="000000000000"/>
              <w:rPr>
                <w:rFonts w:ascii="Times New Roman" w:hAnsi="Times New Roman"/>
                <w:lang w:val="pt-BR"/>
              </w:rPr>
            </w:pPr>
            <w:r w:rsidRPr="002120E3">
              <w:rPr>
                <w:rFonts w:ascii="Times New Roman" w:hAnsi="Times New Roman"/>
                <w:lang w:val="pt-BR"/>
              </w:rPr>
              <w:t>11%</w:t>
            </w:r>
          </w:p>
        </w:tc>
        <w:tc>
          <w:tcPr>
            <w:tcW w:w="1506" w:type="dxa"/>
          </w:tcPr>
          <w:p w:rsidR="003911B4" w:rsidRPr="002120E3" w:rsidRDefault="00EA0C11" w:rsidP="002120E3">
            <w:pPr>
              <w:spacing w:line="360" w:lineRule="auto"/>
              <w:jc w:val="center"/>
              <w:cnfStyle w:val="000000000000"/>
              <w:rPr>
                <w:rFonts w:ascii="Times New Roman" w:hAnsi="Times New Roman"/>
                <w:lang w:val="pt-BR"/>
              </w:rPr>
            </w:pPr>
            <w:r w:rsidRPr="002120E3">
              <w:rPr>
                <w:rFonts w:ascii="Times New Roman" w:hAnsi="Times New Roman"/>
                <w:lang w:val="pt-BR"/>
              </w:rPr>
              <w:t>3%</w:t>
            </w:r>
          </w:p>
        </w:tc>
        <w:tc>
          <w:tcPr>
            <w:tcW w:w="1506" w:type="dxa"/>
          </w:tcPr>
          <w:p w:rsidR="003911B4" w:rsidRPr="002120E3" w:rsidRDefault="00EA0C11" w:rsidP="002120E3">
            <w:pPr>
              <w:spacing w:line="360" w:lineRule="auto"/>
              <w:jc w:val="center"/>
              <w:cnfStyle w:val="000000000000"/>
              <w:rPr>
                <w:rFonts w:ascii="Times New Roman" w:hAnsi="Times New Roman"/>
                <w:lang w:val="pt-BR"/>
              </w:rPr>
            </w:pPr>
            <w:r w:rsidRPr="002120E3">
              <w:rPr>
                <w:rFonts w:ascii="Times New Roman" w:hAnsi="Times New Roman"/>
                <w:lang w:val="pt-BR"/>
              </w:rPr>
              <w:t>46%</w:t>
            </w:r>
          </w:p>
        </w:tc>
      </w:tr>
    </w:tbl>
    <w:p w:rsidR="003911B4" w:rsidRPr="002120E3" w:rsidRDefault="00EA0C11" w:rsidP="002120E3">
      <w:pPr>
        <w:spacing w:line="360" w:lineRule="auto"/>
        <w:jc w:val="center"/>
        <w:rPr>
          <w:rFonts w:ascii="Times New Roman" w:hAnsi="Times New Roman"/>
          <w:lang w:val="pt-BR"/>
        </w:rPr>
      </w:pPr>
      <w:r w:rsidRPr="002120E3">
        <w:rPr>
          <w:rFonts w:ascii="Times New Roman" w:hAnsi="Times New Roman"/>
          <w:b/>
          <w:lang w:val="pt-BR"/>
        </w:rPr>
        <w:t>Tabela 1:</w:t>
      </w:r>
      <w:r w:rsidRPr="002120E3">
        <w:rPr>
          <w:rFonts w:ascii="Times New Roman" w:hAnsi="Times New Roman"/>
          <w:lang w:val="pt-BR"/>
        </w:rPr>
        <w:t xml:space="preserve"> </w:t>
      </w:r>
      <w:r w:rsidR="00997AD3" w:rsidRPr="002120E3">
        <w:rPr>
          <w:rFonts w:ascii="Times New Roman" w:hAnsi="Times New Roman"/>
          <w:lang w:val="pt-BR"/>
        </w:rPr>
        <w:t>Demonstrativo do resultado final comparando o desempenho das turmas de Agronomia durante os períodos de 2012.1 e 2012.2.</w:t>
      </w:r>
    </w:p>
    <w:p w:rsidR="00997AD3" w:rsidRPr="002120E3" w:rsidRDefault="00997AD3" w:rsidP="002120E3">
      <w:pPr>
        <w:spacing w:line="360" w:lineRule="auto"/>
        <w:jc w:val="center"/>
        <w:rPr>
          <w:rFonts w:ascii="Times New Roman" w:hAnsi="Times New Roman"/>
          <w:lang w:val="pt-BR"/>
        </w:rPr>
      </w:pPr>
    </w:p>
    <w:p w:rsidR="004E7EE9" w:rsidRPr="002120E3" w:rsidRDefault="00997AD3" w:rsidP="002120E3">
      <w:pPr>
        <w:spacing w:line="360" w:lineRule="auto"/>
        <w:ind w:firstLine="708"/>
        <w:jc w:val="both"/>
        <w:rPr>
          <w:rFonts w:ascii="Times New Roman" w:hAnsi="Times New Roman"/>
          <w:lang w:val="pt-BR"/>
        </w:rPr>
      </w:pPr>
      <w:r w:rsidRPr="002120E3">
        <w:rPr>
          <w:rFonts w:ascii="Times New Roman" w:hAnsi="Times New Roman"/>
          <w:lang w:val="pt-BR"/>
        </w:rPr>
        <w:t>Observa-se que o índice de desistência caiu pela metade durante o período de 2012.2, neste mesmo período houve um discreto aumento na porcentagem de alunos aprovados por média e também no número de aprovação total na disciplina.</w:t>
      </w:r>
      <w:r w:rsidR="004E7EE9" w:rsidRPr="002120E3">
        <w:rPr>
          <w:rFonts w:ascii="Times New Roman" w:hAnsi="Times New Roman"/>
          <w:lang w:val="pt-BR"/>
        </w:rPr>
        <w:t xml:space="preserve"> </w:t>
      </w:r>
      <w:r w:rsidR="00AA4E82" w:rsidRPr="002120E3">
        <w:rPr>
          <w:rFonts w:ascii="Times New Roman" w:hAnsi="Times New Roman"/>
          <w:lang w:val="pt-BR"/>
        </w:rPr>
        <w:t>Os dados apresentados apenas reforça a importância do monitor para a continuação de resultados satisfatórios em que se tem a obtenção de um alto número de aprovações e de baixos índices de reprovações e desistência durante dois semestres consecutivos.</w:t>
      </w:r>
    </w:p>
    <w:p w:rsidR="004E7EE9" w:rsidRPr="002120E3" w:rsidRDefault="004E7EE9" w:rsidP="002120E3">
      <w:pPr>
        <w:spacing w:line="360" w:lineRule="auto"/>
        <w:jc w:val="both"/>
        <w:rPr>
          <w:rFonts w:ascii="Times New Roman" w:hAnsi="Times New Roman"/>
          <w:lang w:val="pt-BR"/>
        </w:rPr>
      </w:pPr>
    </w:p>
    <w:p w:rsidR="004E7EE9" w:rsidRPr="002120E3" w:rsidRDefault="004E7EE9" w:rsidP="002120E3">
      <w:pPr>
        <w:pStyle w:val="PargrafodaLista"/>
        <w:numPr>
          <w:ilvl w:val="0"/>
          <w:numId w:val="2"/>
        </w:numPr>
        <w:spacing w:line="360" w:lineRule="auto"/>
        <w:jc w:val="both"/>
        <w:rPr>
          <w:rFonts w:ascii="Times New Roman" w:hAnsi="Times New Roman"/>
          <w:lang w:val="pt-BR"/>
        </w:rPr>
      </w:pPr>
      <w:r w:rsidRPr="002120E3">
        <w:rPr>
          <w:rFonts w:ascii="Times New Roman" w:hAnsi="Times New Roman"/>
          <w:lang w:val="pt-BR"/>
        </w:rPr>
        <w:t>CONCLUSÃO</w:t>
      </w:r>
    </w:p>
    <w:p w:rsidR="00EF73F3" w:rsidRPr="002120E3" w:rsidRDefault="00EF73F3" w:rsidP="002120E3">
      <w:pPr>
        <w:pStyle w:val="PargrafodaLista"/>
        <w:spacing w:line="360" w:lineRule="auto"/>
        <w:jc w:val="both"/>
        <w:rPr>
          <w:rFonts w:ascii="Times New Roman" w:hAnsi="Times New Roman"/>
          <w:lang w:val="pt-BR"/>
        </w:rPr>
      </w:pPr>
    </w:p>
    <w:p w:rsidR="00A07F04" w:rsidRPr="002120E3" w:rsidRDefault="00EF73F3" w:rsidP="002120E3">
      <w:pPr>
        <w:spacing w:line="360" w:lineRule="auto"/>
        <w:ind w:left="360" w:firstLine="348"/>
        <w:jc w:val="both"/>
        <w:rPr>
          <w:rFonts w:ascii="Times New Roman" w:hAnsi="Times New Roman"/>
          <w:lang w:val="pt-BR"/>
        </w:rPr>
      </w:pPr>
      <w:r w:rsidRPr="002120E3">
        <w:rPr>
          <w:rFonts w:ascii="Times New Roman" w:hAnsi="Times New Roman"/>
          <w:lang w:val="pt-BR"/>
        </w:rPr>
        <w:t>A atuação do monitor como colaborador buscando não somente atuar como um elo de comunicação entre os alunos da disciplina e o professor da mesma, sendo também uma ferramenta de extrema importância para</w:t>
      </w:r>
      <w:r w:rsidR="0055498E" w:rsidRPr="002120E3">
        <w:rPr>
          <w:rFonts w:ascii="Times New Roman" w:hAnsi="Times New Roman"/>
          <w:lang w:val="pt-BR"/>
        </w:rPr>
        <w:t xml:space="preserve"> o acompanhamento dos </w:t>
      </w:r>
      <w:r w:rsidR="0055498E" w:rsidRPr="002120E3">
        <w:rPr>
          <w:rFonts w:ascii="Times New Roman" w:hAnsi="Times New Roman"/>
          <w:lang w:val="pt-BR"/>
        </w:rPr>
        <w:lastRenderedPageBreak/>
        <w:t xml:space="preserve">alunos </w:t>
      </w:r>
      <w:r w:rsidRPr="002120E3">
        <w:rPr>
          <w:rFonts w:ascii="Times New Roman" w:hAnsi="Times New Roman"/>
          <w:lang w:val="pt-BR"/>
        </w:rPr>
        <w:t>nos seus horários livres</w:t>
      </w:r>
      <w:r w:rsidR="0055498E" w:rsidRPr="002120E3">
        <w:rPr>
          <w:rFonts w:ascii="Times New Roman" w:hAnsi="Times New Roman"/>
          <w:lang w:val="pt-BR"/>
        </w:rPr>
        <w:t>,</w:t>
      </w:r>
      <w:r w:rsidRPr="002120E3">
        <w:rPr>
          <w:rFonts w:ascii="Times New Roman" w:hAnsi="Times New Roman"/>
          <w:lang w:val="pt-BR"/>
        </w:rPr>
        <w:t xml:space="preserve"> </w:t>
      </w:r>
      <w:r w:rsidR="0055498E" w:rsidRPr="002120E3">
        <w:rPr>
          <w:rFonts w:ascii="Times New Roman" w:hAnsi="Times New Roman"/>
          <w:lang w:val="pt-BR"/>
        </w:rPr>
        <w:t xml:space="preserve">ampliando dessa forma o contato dos discentes com </w:t>
      </w:r>
      <w:r w:rsidR="00A07F04" w:rsidRPr="002120E3">
        <w:rPr>
          <w:rFonts w:ascii="Times New Roman" w:hAnsi="Times New Roman"/>
          <w:lang w:val="pt-BR"/>
        </w:rPr>
        <w:t>atividades</w:t>
      </w:r>
      <w:r w:rsidR="0055498E" w:rsidRPr="002120E3">
        <w:rPr>
          <w:rFonts w:ascii="Times New Roman" w:hAnsi="Times New Roman"/>
          <w:lang w:val="pt-BR"/>
        </w:rPr>
        <w:t xml:space="preserve"> práticas que requer está disciplina. Este acompanhamento fora do horário </w:t>
      </w:r>
      <w:r w:rsidR="00A07F04" w:rsidRPr="002120E3">
        <w:rPr>
          <w:rFonts w:ascii="Times New Roman" w:hAnsi="Times New Roman"/>
          <w:lang w:val="pt-BR"/>
        </w:rPr>
        <w:t>de aula</w:t>
      </w:r>
      <w:r w:rsidR="0055498E" w:rsidRPr="002120E3">
        <w:rPr>
          <w:rFonts w:ascii="Times New Roman" w:hAnsi="Times New Roman"/>
          <w:lang w:val="pt-BR"/>
        </w:rPr>
        <w:t xml:space="preserve"> contribui significadamente para melhoria do processo de aprendizagem, pois muitas vezes esse se torna o único momento em que os alunos podem </w:t>
      </w:r>
      <w:r w:rsidR="00A07F04" w:rsidRPr="002120E3">
        <w:rPr>
          <w:rFonts w:ascii="Times New Roman" w:hAnsi="Times New Roman"/>
          <w:lang w:val="pt-BR"/>
        </w:rPr>
        <w:t>expressar</w:t>
      </w:r>
      <w:r w:rsidR="0055498E" w:rsidRPr="002120E3">
        <w:rPr>
          <w:rFonts w:ascii="Times New Roman" w:hAnsi="Times New Roman"/>
          <w:lang w:val="pt-BR"/>
        </w:rPr>
        <w:t xml:space="preserve"> </w:t>
      </w:r>
      <w:r w:rsidR="00A07F04" w:rsidRPr="002120E3">
        <w:rPr>
          <w:rFonts w:ascii="Times New Roman" w:hAnsi="Times New Roman"/>
          <w:lang w:val="pt-BR"/>
        </w:rPr>
        <w:t xml:space="preserve">naturalmente </w:t>
      </w:r>
      <w:r w:rsidR="0055498E" w:rsidRPr="002120E3">
        <w:rPr>
          <w:rFonts w:ascii="Times New Roman" w:hAnsi="Times New Roman"/>
          <w:lang w:val="pt-BR"/>
        </w:rPr>
        <w:t>suas</w:t>
      </w:r>
      <w:r w:rsidR="00A07F04" w:rsidRPr="002120E3">
        <w:rPr>
          <w:rFonts w:ascii="Times New Roman" w:hAnsi="Times New Roman"/>
          <w:lang w:val="pt-BR"/>
        </w:rPr>
        <w:t xml:space="preserve"> dificuldades e principalmente procurando elucidar</w:t>
      </w:r>
      <w:r w:rsidR="0055498E" w:rsidRPr="002120E3">
        <w:rPr>
          <w:rFonts w:ascii="Times New Roman" w:hAnsi="Times New Roman"/>
          <w:lang w:val="pt-BR"/>
        </w:rPr>
        <w:t xml:space="preserve"> suas dúvidas sobre o conteúdo abordado em sala de aula.</w:t>
      </w:r>
      <w:r w:rsidR="00A07F04" w:rsidRPr="002120E3">
        <w:rPr>
          <w:rFonts w:ascii="Times New Roman" w:hAnsi="Times New Roman"/>
          <w:lang w:val="pt-BR"/>
        </w:rPr>
        <w:t xml:space="preserve"> Essa interação alunos-monitor proporciona um enriquecimento na vida acadêmica do monitor, referente ao conhecimento obtido ao passar o conhecimento para os outros alunos, instigando a procurar soluções para a melhoria da aprendizagem da disciplina, aumentando a carga de leitura pela procura de literaturas mais didáticas até mesmo durante a elaboração de aulas e simulados, são vários itens, que apenas somam e resalta a importância dessa atividade durante a vida acadêmica do monitor.</w:t>
      </w:r>
      <w:r w:rsidR="002120E3" w:rsidRPr="002120E3">
        <w:rPr>
          <w:rFonts w:ascii="Times New Roman" w:hAnsi="Times New Roman"/>
          <w:lang w:val="pt-BR"/>
        </w:rPr>
        <w:t xml:space="preserve"> </w:t>
      </w:r>
    </w:p>
    <w:p w:rsidR="004E7EE9" w:rsidRPr="002120E3" w:rsidRDefault="004E7EE9" w:rsidP="002120E3">
      <w:pPr>
        <w:spacing w:line="360" w:lineRule="auto"/>
        <w:jc w:val="both"/>
        <w:rPr>
          <w:rFonts w:ascii="Times New Roman" w:hAnsi="Times New Roman"/>
          <w:b/>
          <w:lang w:val="pt-BR"/>
        </w:rPr>
      </w:pPr>
      <w:r w:rsidRPr="002120E3">
        <w:rPr>
          <w:rFonts w:ascii="Times New Roman" w:hAnsi="Times New Roman"/>
          <w:b/>
          <w:lang w:val="pt-BR"/>
        </w:rPr>
        <w:t xml:space="preserve">  </w:t>
      </w:r>
    </w:p>
    <w:p w:rsidR="00DC3DD6" w:rsidRPr="002120E3" w:rsidRDefault="00DC3DD6" w:rsidP="002120E3">
      <w:pPr>
        <w:spacing w:line="360" w:lineRule="auto"/>
        <w:jc w:val="both"/>
        <w:rPr>
          <w:rFonts w:ascii="Times New Roman" w:hAnsi="Times New Roman"/>
          <w:lang w:val="pt-BR"/>
        </w:rPr>
      </w:pPr>
    </w:p>
    <w:p w:rsidR="005F60A9" w:rsidRPr="002120E3" w:rsidRDefault="005F60A9" w:rsidP="002120E3">
      <w:pPr>
        <w:spacing w:line="360" w:lineRule="auto"/>
        <w:jc w:val="both"/>
        <w:rPr>
          <w:rFonts w:ascii="Times New Roman" w:hAnsi="Times New Roman"/>
          <w:lang w:val="pt-BR"/>
        </w:rPr>
      </w:pPr>
      <w:r w:rsidRPr="002120E3">
        <w:rPr>
          <w:rFonts w:ascii="Times New Roman" w:hAnsi="Times New Roman"/>
          <w:lang w:val="pt-BR"/>
        </w:rPr>
        <w:t xml:space="preserve">       </w:t>
      </w:r>
    </w:p>
    <w:p w:rsidR="005F60A9" w:rsidRPr="002120E3" w:rsidRDefault="005F60A9" w:rsidP="002120E3">
      <w:pPr>
        <w:spacing w:line="360" w:lineRule="auto"/>
        <w:jc w:val="both"/>
        <w:rPr>
          <w:rFonts w:ascii="Times New Roman" w:hAnsi="Times New Roman"/>
          <w:lang w:val="pt-BR"/>
        </w:rPr>
      </w:pPr>
    </w:p>
    <w:p w:rsidR="005F60A9" w:rsidRPr="002120E3" w:rsidRDefault="005F60A9" w:rsidP="002120E3">
      <w:pPr>
        <w:spacing w:line="360" w:lineRule="auto"/>
        <w:jc w:val="both"/>
        <w:rPr>
          <w:rFonts w:ascii="Times New Roman" w:hAnsi="Times New Roman"/>
          <w:lang w:val="pt-BR"/>
        </w:rPr>
      </w:pPr>
    </w:p>
    <w:p w:rsidR="005F60A9" w:rsidRPr="002120E3" w:rsidRDefault="005F60A9" w:rsidP="002120E3">
      <w:pPr>
        <w:spacing w:line="360" w:lineRule="auto"/>
        <w:jc w:val="both"/>
        <w:rPr>
          <w:rFonts w:ascii="Times New Roman" w:hAnsi="Times New Roman"/>
          <w:lang w:val="pt-BR"/>
        </w:rPr>
      </w:pPr>
    </w:p>
    <w:p w:rsidR="009B3EA6" w:rsidRPr="002120E3" w:rsidRDefault="009B3EA6" w:rsidP="002120E3">
      <w:pPr>
        <w:spacing w:line="360" w:lineRule="auto"/>
        <w:jc w:val="both"/>
        <w:rPr>
          <w:rFonts w:ascii="Times New Roman" w:hAnsi="Times New Roman"/>
          <w:lang w:val="pt-BR"/>
        </w:rPr>
      </w:pPr>
    </w:p>
    <w:p w:rsidR="009B3EA6" w:rsidRPr="002120E3" w:rsidRDefault="005F60A9" w:rsidP="002120E3">
      <w:pPr>
        <w:tabs>
          <w:tab w:val="left" w:pos="6663"/>
        </w:tabs>
        <w:spacing w:line="360" w:lineRule="auto"/>
        <w:jc w:val="both"/>
        <w:rPr>
          <w:rFonts w:ascii="Times New Roman" w:hAnsi="Times New Roman"/>
          <w:lang w:val="pt-BR"/>
        </w:rPr>
      </w:pPr>
      <w:r w:rsidRPr="002120E3">
        <w:rPr>
          <w:rFonts w:ascii="Times New Roman" w:hAnsi="Times New Roman"/>
          <w:lang w:val="pt-BR"/>
        </w:rPr>
        <w:t xml:space="preserve">          </w:t>
      </w:r>
    </w:p>
    <w:p w:rsidR="004E7EE9" w:rsidRPr="002120E3" w:rsidRDefault="004E7EE9" w:rsidP="002120E3">
      <w:pPr>
        <w:tabs>
          <w:tab w:val="left" w:pos="6663"/>
        </w:tabs>
        <w:spacing w:line="360" w:lineRule="auto"/>
        <w:jc w:val="both"/>
        <w:rPr>
          <w:rFonts w:ascii="Times New Roman" w:hAnsi="Times New Roman"/>
          <w:lang w:val="pt-BR"/>
        </w:rPr>
      </w:pPr>
    </w:p>
    <w:p w:rsidR="004E7EE9" w:rsidRPr="002120E3" w:rsidRDefault="004E7EE9" w:rsidP="002120E3">
      <w:pPr>
        <w:tabs>
          <w:tab w:val="left" w:pos="6663"/>
        </w:tabs>
        <w:spacing w:line="360" w:lineRule="auto"/>
        <w:jc w:val="both"/>
        <w:rPr>
          <w:rFonts w:ascii="Times New Roman" w:hAnsi="Times New Roman"/>
          <w:lang w:val="pt-BR"/>
        </w:rPr>
      </w:pPr>
    </w:p>
    <w:p w:rsidR="00947524" w:rsidRPr="002120E3" w:rsidRDefault="00947524" w:rsidP="002120E3">
      <w:pPr>
        <w:spacing w:line="360" w:lineRule="auto"/>
        <w:jc w:val="both"/>
        <w:rPr>
          <w:rFonts w:ascii="Times New Roman" w:hAnsi="Times New Roman"/>
          <w:lang w:val="pt-BR"/>
        </w:rPr>
      </w:pPr>
    </w:p>
    <w:p w:rsidR="00947524" w:rsidRPr="002120E3" w:rsidRDefault="00947524" w:rsidP="002120E3">
      <w:pPr>
        <w:spacing w:line="360" w:lineRule="auto"/>
        <w:jc w:val="both"/>
        <w:rPr>
          <w:rFonts w:ascii="Times New Roman" w:hAnsi="Times New Roman"/>
          <w:lang w:val="pt-BR"/>
        </w:rPr>
      </w:pPr>
    </w:p>
    <w:p w:rsidR="00947524" w:rsidRPr="002120E3" w:rsidRDefault="00947524" w:rsidP="002120E3">
      <w:pPr>
        <w:autoSpaceDE w:val="0"/>
        <w:autoSpaceDN w:val="0"/>
        <w:adjustRightInd w:val="0"/>
        <w:spacing w:line="360" w:lineRule="auto"/>
        <w:jc w:val="both"/>
        <w:rPr>
          <w:rFonts w:ascii="Times New Roman" w:hAnsi="Times New Roman"/>
          <w:lang w:val="pt-BR"/>
        </w:rPr>
      </w:pPr>
      <w:r w:rsidRPr="002120E3">
        <w:rPr>
          <w:rFonts w:ascii="Times New Roman" w:hAnsi="Times New Roman"/>
          <w:lang w:val="pt-BR"/>
        </w:rPr>
        <w:t>6. REFERÊNCIA</w:t>
      </w:r>
    </w:p>
    <w:p w:rsidR="00947524" w:rsidRPr="002120E3" w:rsidRDefault="00947524" w:rsidP="002120E3">
      <w:pPr>
        <w:autoSpaceDE w:val="0"/>
        <w:autoSpaceDN w:val="0"/>
        <w:adjustRightInd w:val="0"/>
        <w:spacing w:line="360" w:lineRule="auto"/>
        <w:rPr>
          <w:rFonts w:ascii="Times New Roman" w:hAnsi="Times New Roman"/>
          <w:lang w:val="pt-BR"/>
        </w:rPr>
      </w:pPr>
    </w:p>
    <w:p w:rsidR="00947524" w:rsidRPr="002120E3" w:rsidRDefault="00947524" w:rsidP="002120E3">
      <w:pPr>
        <w:autoSpaceDE w:val="0"/>
        <w:autoSpaceDN w:val="0"/>
        <w:adjustRightInd w:val="0"/>
        <w:spacing w:line="360" w:lineRule="auto"/>
        <w:rPr>
          <w:rFonts w:ascii="Times New Roman" w:hAnsi="Times New Roman"/>
          <w:lang w:val="pt-BR"/>
        </w:rPr>
      </w:pPr>
      <w:r w:rsidRPr="002120E3">
        <w:rPr>
          <w:rFonts w:ascii="Times New Roman" w:hAnsi="Times New Roman"/>
          <w:lang w:val="pt-BR"/>
        </w:rPr>
        <w:t xml:space="preserve">MORAES, M. e TORRES, P.L. </w:t>
      </w:r>
      <w:r w:rsidRPr="002120E3">
        <w:rPr>
          <w:rFonts w:ascii="Times New Roman" w:hAnsi="Times New Roman"/>
          <w:b/>
          <w:lang w:val="pt-BR"/>
        </w:rPr>
        <w:t>A monitoria online no apoio a distância: o modelo do LED</w:t>
      </w:r>
      <w:r w:rsidRPr="002120E3">
        <w:rPr>
          <w:rFonts w:ascii="Times New Roman" w:hAnsi="Times New Roman"/>
          <w:lang w:val="pt-BR"/>
        </w:rPr>
        <w:t xml:space="preserve">. Revista digital da CVA, v.2. n.5, p. 315. Agosto de 2003. </w:t>
      </w:r>
    </w:p>
    <w:p w:rsidR="00947524" w:rsidRPr="002120E3" w:rsidRDefault="00947524" w:rsidP="002120E3">
      <w:pPr>
        <w:spacing w:line="360" w:lineRule="auto"/>
        <w:jc w:val="both"/>
        <w:rPr>
          <w:rFonts w:ascii="Times New Roman" w:hAnsi="Times New Roman"/>
          <w:lang w:val="pt-BR"/>
        </w:rPr>
      </w:pPr>
      <w:r w:rsidRPr="002120E3">
        <w:rPr>
          <w:rFonts w:ascii="Times New Roman" w:hAnsi="Times New Roman"/>
          <w:lang w:val="pt-BR"/>
        </w:rPr>
        <w:t>SCHNEIDER, M.S.P.S. Monitoria</w:t>
      </w:r>
      <w:r w:rsidRPr="002120E3">
        <w:rPr>
          <w:rFonts w:ascii="Times New Roman" w:hAnsi="Times New Roman"/>
          <w:b/>
          <w:lang w:val="pt-BR"/>
        </w:rPr>
        <w:t>: Instrumento para trabalhar com a diversidade de conhecimento em sala de aula.</w:t>
      </w:r>
      <w:r w:rsidRPr="002120E3">
        <w:rPr>
          <w:rFonts w:ascii="Times New Roman" w:hAnsi="Times New Roman"/>
          <w:lang w:val="pt-BR"/>
        </w:rPr>
        <w:t xml:space="preserve"> Revista Eletrônica Espaço Acadêmico. v. 2, p.65, 2006.</w:t>
      </w:r>
    </w:p>
    <w:p w:rsidR="00387EDD" w:rsidRPr="002120E3" w:rsidRDefault="00387EDD" w:rsidP="002120E3">
      <w:pPr>
        <w:spacing w:line="360" w:lineRule="auto"/>
        <w:rPr>
          <w:rFonts w:ascii="Times New Roman" w:hAnsi="Times New Roman"/>
          <w:b/>
          <w:lang w:val="pt-BR"/>
        </w:rPr>
      </w:pPr>
    </w:p>
    <w:sectPr w:rsidR="00387EDD" w:rsidRPr="002120E3" w:rsidSect="00907D87">
      <w:foot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E0A" w:rsidRDefault="00673E0A" w:rsidP="004355DB">
      <w:r>
        <w:separator/>
      </w:r>
    </w:p>
  </w:endnote>
  <w:endnote w:type="continuationSeparator" w:id="0">
    <w:p w:rsidR="00673E0A" w:rsidRDefault="00673E0A" w:rsidP="004355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30E" w:rsidRDefault="008C230E" w:rsidP="008C230E">
    <w:pPr>
      <w:pStyle w:val="Default"/>
      <w:pBdr>
        <w:bottom w:val="single" w:sz="12" w:space="1" w:color="auto"/>
      </w:pBdr>
      <w:rPr>
        <w:rFonts w:ascii="Arial" w:hAnsi="Arial" w:cs="Arial"/>
        <w:sz w:val="20"/>
        <w:szCs w:val="20"/>
      </w:rPr>
    </w:pPr>
  </w:p>
  <w:p w:rsidR="008C230E" w:rsidRPr="009E0A94" w:rsidRDefault="008C230E" w:rsidP="008C230E">
    <w:pPr>
      <w:pStyle w:val="Default"/>
      <w:rPr>
        <w:rFonts w:ascii="Arial" w:hAnsi="Arial" w:cs="Arial"/>
        <w:sz w:val="20"/>
        <w:szCs w:val="20"/>
      </w:rPr>
    </w:pPr>
    <w:r w:rsidRPr="009E0A94">
      <w:rPr>
        <w:rFonts w:ascii="Arial" w:hAnsi="Arial" w:cs="Arial"/>
        <w:sz w:val="20"/>
        <w:szCs w:val="20"/>
      </w:rPr>
      <w:t xml:space="preserve">1 Monitor; </w:t>
    </w:r>
  </w:p>
  <w:p w:rsidR="008C230E" w:rsidRPr="009E0A94" w:rsidRDefault="008C230E" w:rsidP="008C230E">
    <w:pPr>
      <w:pStyle w:val="Default"/>
      <w:rPr>
        <w:rFonts w:ascii="Arial" w:hAnsi="Arial" w:cs="Arial"/>
        <w:sz w:val="20"/>
        <w:szCs w:val="20"/>
      </w:rPr>
    </w:pPr>
    <w:r w:rsidRPr="009E0A94">
      <w:rPr>
        <w:rFonts w:ascii="Arial" w:hAnsi="Arial" w:cs="Arial"/>
        <w:sz w:val="20"/>
        <w:szCs w:val="20"/>
      </w:rPr>
      <w:t>2 Orien</w:t>
    </w:r>
    <w:r>
      <w:rPr>
        <w:rFonts w:ascii="Arial" w:hAnsi="Arial" w:cs="Arial"/>
        <w:sz w:val="20"/>
        <w:szCs w:val="20"/>
      </w:rPr>
      <w:t>tador (professor da disciplina);</w:t>
    </w:r>
  </w:p>
  <w:p w:rsidR="008C230E" w:rsidRPr="00C7090A" w:rsidRDefault="008C230E" w:rsidP="008C230E">
    <w:pPr>
      <w:rPr>
        <w:rFonts w:ascii="Arial" w:hAnsi="Arial" w:cs="Arial"/>
        <w:sz w:val="20"/>
        <w:szCs w:val="20"/>
      </w:rPr>
    </w:pPr>
    <w:r w:rsidRPr="009E0A94">
      <w:rPr>
        <w:rFonts w:ascii="Arial" w:hAnsi="Arial" w:cs="Arial"/>
        <w:sz w:val="20"/>
        <w:szCs w:val="20"/>
      </w:rPr>
      <w:t xml:space="preserve">3 </w:t>
    </w:r>
    <w:proofErr w:type="spellStart"/>
    <w:r w:rsidRPr="009E0A94">
      <w:rPr>
        <w:rFonts w:ascii="Arial" w:hAnsi="Arial" w:cs="Arial"/>
        <w:sz w:val="20"/>
        <w:szCs w:val="20"/>
      </w:rPr>
      <w:t>Coor</w:t>
    </w:r>
    <w:r>
      <w:rPr>
        <w:rFonts w:ascii="Arial" w:hAnsi="Arial" w:cs="Arial"/>
        <w:sz w:val="20"/>
        <w:szCs w:val="20"/>
      </w:rPr>
      <w:t>denador</w:t>
    </w:r>
    <w:proofErr w:type="spellEnd"/>
    <w:r>
      <w:rPr>
        <w:rFonts w:ascii="Arial" w:hAnsi="Arial" w:cs="Arial"/>
        <w:sz w:val="20"/>
        <w:szCs w:val="20"/>
      </w:rPr>
      <w:t xml:space="preserve"> do </w:t>
    </w:r>
    <w:proofErr w:type="spellStart"/>
    <w:r>
      <w:rPr>
        <w:rFonts w:ascii="Arial" w:hAnsi="Arial" w:cs="Arial"/>
        <w:sz w:val="20"/>
        <w:szCs w:val="20"/>
      </w:rPr>
      <w:t>projeto</w:t>
    </w:r>
    <w:proofErr w:type="spellEnd"/>
    <w:r>
      <w:rPr>
        <w:rFonts w:ascii="Arial" w:hAnsi="Arial" w:cs="Arial"/>
        <w:sz w:val="20"/>
        <w:szCs w:val="20"/>
      </w:rPr>
      <w:t>.</w:t>
    </w:r>
  </w:p>
  <w:p w:rsidR="008C230E" w:rsidRDefault="008C230E">
    <w:pPr>
      <w:pStyle w:val="Rodap"/>
    </w:pPr>
  </w:p>
  <w:p w:rsidR="004355DB" w:rsidRPr="0080537A" w:rsidRDefault="004355DB">
    <w:pPr>
      <w:pStyle w:val="Rodap"/>
      <w:rPr>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E0A" w:rsidRDefault="00673E0A" w:rsidP="004355DB">
      <w:r>
        <w:separator/>
      </w:r>
    </w:p>
  </w:footnote>
  <w:footnote w:type="continuationSeparator" w:id="0">
    <w:p w:rsidR="00673E0A" w:rsidRDefault="00673E0A" w:rsidP="004355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83C90"/>
    <w:multiLevelType w:val="hybridMultilevel"/>
    <w:tmpl w:val="4B182DD8"/>
    <w:lvl w:ilvl="0" w:tplc="3F1A3BD6">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0A619D3"/>
    <w:multiLevelType w:val="hybridMultilevel"/>
    <w:tmpl w:val="EDB871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F1527E6"/>
    <w:multiLevelType w:val="hybridMultilevel"/>
    <w:tmpl w:val="9948C54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DBC4DE9"/>
    <w:multiLevelType w:val="hybridMultilevel"/>
    <w:tmpl w:val="34065C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A0A2C83"/>
    <w:multiLevelType w:val="hybridMultilevel"/>
    <w:tmpl w:val="AD34125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87EDD"/>
    <w:rsid w:val="000345E5"/>
    <w:rsid w:val="000A025F"/>
    <w:rsid w:val="00192FAF"/>
    <w:rsid w:val="00211A35"/>
    <w:rsid w:val="002120E3"/>
    <w:rsid w:val="00387EDD"/>
    <w:rsid w:val="003911B4"/>
    <w:rsid w:val="003E5E72"/>
    <w:rsid w:val="004355DB"/>
    <w:rsid w:val="00476875"/>
    <w:rsid w:val="004E7EE9"/>
    <w:rsid w:val="0051722E"/>
    <w:rsid w:val="005234FF"/>
    <w:rsid w:val="0055498E"/>
    <w:rsid w:val="00582280"/>
    <w:rsid w:val="005B6BB0"/>
    <w:rsid w:val="005F60A9"/>
    <w:rsid w:val="00656D60"/>
    <w:rsid w:val="00673E0A"/>
    <w:rsid w:val="007002FC"/>
    <w:rsid w:val="00737534"/>
    <w:rsid w:val="007C39AD"/>
    <w:rsid w:val="00803EF6"/>
    <w:rsid w:val="0080537A"/>
    <w:rsid w:val="008C230E"/>
    <w:rsid w:val="00907D87"/>
    <w:rsid w:val="00947524"/>
    <w:rsid w:val="00997AD3"/>
    <w:rsid w:val="009B3EA6"/>
    <w:rsid w:val="00A07F04"/>
    <w:rsid w:val="00A176F8"/>
    <w:rsid w:val="00A40217"/>
    <w:rsid w:val="00A40928"/>
    <w:rsid w:val="00AA4E82"/>
    <w:rsid w:val="00B04DC5"/>
    <w:rsid w:val="00B8247C"/>
    <w:rsid w:val="00C059B4"/>
    <w:rsid w:val="00C12C93"/>
    <w:rsid w:val="00C40768"/>
    <w:rsid w:val="00C93F06"/>
    <w:rsid w:val="00CA6B19"/>
    <w:rsid w:val="00D70FD4"/>
    <w:rsid w:val="00DC3DD6"/>
    <w:rsid w:val="00DE6C92"/>
    <w:rsid w:val="00E1277C"/>
    <w:rsid w:val="00EA0C11"/>
    <w:rsid w:val="00EE4512"/>
    <w:rsid w:val="00EF73F3"/>
    <w:rsid w:val="00F02F5A"/>
    <w:rsid w:val="00F14133"/>
    <w:rsid w:val="00F7445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EDD"/>
    <w:pPr>
      <w:spacing w:after="0" w:line="240" w:lineRule="auto"/>
    </w:pPr>
    <w:rPr>
      <w:rFonts w:cs="Times New Roman"/>
      <w:sz w:val="24"/>
      <w:szCs w:val="24"/>
      <w:lang w:val="en-US" w:bidi="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Intensa">
    <w:name w:val="Intense Emphasis"/>
    <w:basedOn w:val="Fontepargpadro"/>
    <w:uiPriority w:val="21"/>
    <w:qFormat/>
    <w:rsid w:val="00387EDD"/>
    <w:rPr>
      <w:b/>
      <w:bCs/>
      <w:i/>
      <w:iCs/>
      <w:color w:val="4F81BD" w:themeColor="accent1"/>
    </w:rPr>
  </w:style>
  <w:style w:type="paragraph" w:styleId="Citao">
    <w:name w:val="Quote"/>
    <w:basedOn w:val="Normal"/>
    <w:next w:val="Normal"/>
    <w:link w:val="CitaoChar"/>
    <w:uiPriority w:val="29"/>
    <w:qFormat/>
    <w:rsid w:val="00387EDD"/>
    <w:rPr>
      <w:i/>
      <w:iCs/>
      <w:color w:val="000000" w:themeColor="text1"/>
    </w:rPr>
  </w:style>
  <w:style w:type="character" w:customStyle="1" w:styleId="CitaoChar">
    <w:name w:val="Citação Char"/>
    <w:basedOn w:val="Fontepargpadro"/>
    <w:link w:val="Citao"/>
    <w:uiPriority w:val="29"/>
    <w:rsid w:val="00387EDD"/>
    <w:rPr>
      <w:rFonts w:cs="Times New Roman"/>
      <w:i/>
      <w:iCs/>
      <w:color w:val="000000" w:themeColor="text1"/>
      <w:sz w:val="24"/>
      <w:szCs w:val="24"/>
      <w:lang w:val="en-US" w:bidi="en-US"/>
    </w:rPr>
  </w:style>
  <w:style w:type="paragraph" w:styleId="PargrafodaLista">
    <w:name w:val="List Paragraph"/>
    <w:basedOn w:val="Normal"/>
    <w:uiPriority w:val="34"/>
    <w:qFormat/>
    <w:rsid w:val="00387EDD"/>
    <w:pPr>
      <w:ind w:left="720"/>
      <w:contextualSpacing/>
    </w:pPr>
  </w:style>
  <w:style w:type="paragraph" w:styleId="Textodebalo">
    <w:name w:val="Balloon Text"/>
    <w:basedOn w:val="Normal"/>
    <w:link w:val="TextodebaloChar"/>
    <w:uiPriority w:val="99"/>
    <w:semiHidden/>
    <w:unhideWhenUsed/>
    <w:rsid w:val="009B3EA6"/>
    <w:rPr>
      <w:rFonts w:ascii="Tahoma" w:hAnsi="Tahoma" w:cs="Tahoma"/>
      <w:sz w:val="16"/>
      <w:szCs w:val="16"/>
    </w:rPr>
  </w:style>
  <w:style w:type="character" w:customStyle="1" w:styleId="TextodebaloChar">
    <w:name w:val="Texto de balão Char"/>
    <w:basedOn w:val="Fontepargpadro"/>
    <w:link w:val="Textodebalo"/>
    <w:uiPriority w:val="99"/>
    <w:semiHidden/>
    <w:rsid w:val="009B3EA6"/>
    <w:rPr>
      <w:rFonts w:ascii="Tahoma" w:hAnsi="Tahoma" w:cs="Tahoma"/>
      <w:sz w:val="16"/>
      <w:szCs w:val="16"/>
      <w:lang w:val="en-US" w:bidi="en-US"/>
    </w:rPr>
  </w:style>
  <w:style w:type="paragraph" w:styleId="Cabealho">
    <w:name w:val="header"/>
    <w:basedOn w:val="Normal"/>
    <w:link w:val="CabealhoChar"/>
    <w:uiPriority w:val="99"/>
    <w:semiHidden/>
    <w:unhideWhenUsed/>
    <w:rsid w:val="004355DB"/>
    <w:pPr>
      <w:tabs>
        <w:tab w:val="center" w:pos="4252"/>
        <w:tab w:val="right" w:pos="8504"/>
      </w:tabs>
    </w:pPr>
  </w:style>
  <w:style w:type="character" w:customStyle="1" w:styleId="CabealhoChar">
    <w:name w:val="Cabeçalho Char"/>
    <w:basedOn w:val="Fontepargpadro"/>
    <w:link w:val="Cabealho"/>
    <w:uiPriority w:val="99"/>
    <w:semiHidden/>
    <w:rsid w:val="004355DB"/>
    <w:rPr>
      <w:rFonts w:cs="Times New Roman"/>
      <w:sz w:val="24"/>
      <w:szCs w:val="24"/>
      <w:lang w:val="en-US" w:bidi="en-US"/>
    </w:rPr>
  </w:style>
  <w:style w:type="paragraph" w:styleId="Rodap">
    <w:name w:val="footer"/>
    <w:basedOn w:val="Normal"/>
    <w:link w:val="RodapChar"/>
    <w:uiPriority w:val="99"/>
    <w:unhideWhenUsed/>
    <w:rsid w:val="004355DB"/>
    <w:pPr>
      <w:tabs>
        <w:tab w:val="center" w:pos="4252"/>
        <w:tab w:val="right" w:pos="8504"/>
      </w:tabs>
    </w:pPr>
  </w:style>
  <w:style w:type="character" w:customStyle="1" w:styleId="RodapChar">
    <w:name w:val="Rodapé Char"/>
    <w:basedOn w:val="Fontepargpadro"/>
    <w:link w:val="Rodap"/>
    <w:uiPriority w:val="99"/>
    <w:rsid w:val="004355DB"/>
    <w:rPr>
      <w:rFonts w:cs="Times New Roman"/>
      <w:sz w:val="24"/>
      <w:szCs w:val="24"/>
      <w:lang w:val="en-US" w:bidi="en-US"/>
    </w:rPr>
  </w:style>
  <w:style w:type="table" w:styleId="Tabelacomgrade">
    <w:name w:val="Table Grid"/>
    <w:basedOn w:val="Tabelanormal"/>
    <w:uiPriority w:val="59"/>
    <w:rsid w:val="003911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Claro">
    <w:name w:val="Light Shading"/>
    <w:basedOn w:val="Tabelanormal"/>
    <w:uiPriority w:val="60"/>
    <w:rsid w:val="00EA0C1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uiPriority w:val="99"/>
    <w:rsid w:val="008C230E"/>
    <w:pPr>
      <w:autoSpaceDE w:val="0"/>
      <w:autoSpaceDN w:val="0"/>
      <w:adjustRightInd w:val="0"/>
      <w:spacing w:after="0" w:line="240" w:lineRule="auto"/>
    </w:pPr>
    <w:rPr>
      <w:rFonts w:ascii="Calibri" w:eastAsia="Calibri" w:hAnsi="Calibri" w:cs="Calibri"/>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VETERIN&#193;RIA2010\agronomia\Relat&#243;rio%20%20monitoria\DADOS%20DE%20MON.%20I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VETERIN&#193;RIA2010\agronomia\Relat&#243;rio%20%20monitoria\DADOS%20DE%20MON.%20I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VETERIN&#193;RIA2010\agronomia\Relat&#243;rio%20%20monitoria\DADOS%20DE%20MON.%20I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VETERIN&#193;RIA2010\agronomia\Relat&#243;rio%20%20monitoria\DADOS%20DE%20MON.%20I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pt-BR"/>
  <c:style val="26"/>
  <c:chart>
    <c:title>
      <c:tx>
        <c:rich>
          <a:bodyPr/>
          <a:lstStyle/>
          <a:p>
            <a:pPr>
              <a:defRPr sz="1200"/>
            </a:pPr>
            <a:r>
              <a:rPr lang="pt-BR" sz="1200"/>
              <a:t>Resultado Final-2012.1</a:t>
            </a:r>
          </a:p>
        </c:rich>
      </c:tx>
      <c:layout>
        <c:manualLayout>
          <c:xMode val="edge"/>
          <c:yMode val="edge"/>
          <c:x val="0.15084772298199575"/>
          <c:y val="5.1724137931034503E-2"/>
        </c:manualLayout>
      </c:layout>
    </c:title>
    <c:plotArea>
      <c:layout>
        <c:manualLayout>
          <c:layoutTarget val="inner"/>
          <c:xMode val="edge"/>
          <c:yMode val="edge"/>
          <c:x val="0.14855861118250432"/>
          <c:y val="0.35706730054969554"/>
          <c:w val="0.38828477300871539"/>
          <c:h val="0.49378101322240392"/>
        </c:manualLayout>
      </c:layout>
      <c:pieChart>
        <c:varyColors val="1"/>
        <c:ser>
          <c:idx val="0"/>
          <c:order val="0"/>
          <c:dLbls>
            <c:dLbl>
              <c:idx val="1"/>
              <c:layout>
                <c:manualLayout>
                  <c:x val="-1.0370321356889272E-2"/>
                  <c:y val="-2.1278271067180454E-2"/>
                </c:manualLayout>
              </c:layout>
              <c:showPercent val="1"/>
              <c:extLst>
                <c:ext xmlns:c15="http://schemas.microsoft.com/office/drawing/2012/chart" uri="{CE6537A1-D6FC-4f65-9D91-7224C49458BB}"/>
              </c:extLst>
            </c:dLbl>
            <c:dLbl>
              <c:idx val="2"/>
              <c:layout>
                <c:manualLayout>
                  <c:x val="-3.5360349064647183E-2"/>
                  <c:y val="-3.9250631406923212E-2"/>
                </c:manualLayout>
              </c:layout>
              <c:showPercent val="1"/>
              <c:extLst>
                <c:ext xmlns:c15="http://schemas.microsoft.com/office/drawing/2012/chart" uri="{CE6537A1-D6FC-4f65-9D91-7224C49458BB}"/>
              </c:extLst>
            </c:dLbl>
            <c:spPr>
              <a:noFill/>
              <a:ln>
                <a:noFill/>
              </a:ln>
              <a:effectLst/>
            </c:spPr>
            <c:txPr>
              <a:bodyPr/>
              <a:lstStyle/>
              <a:p>
                <a:pPr>
                  <a:defRPr sz="800" b="1"/>
                </a:pPr>
                <a:endParaRPr lang="pt-BR"/>
              </a:p>
            </c:txPr>
            <c:showPercent val="1"/>
            <c:showLeaderLines val="1"/>
            <c:extLst>
              <c:ext xmlns:c15="http://schemas.microsoft.com/office/drawing/2012/chart" uri="{CE6537A1-D6FC-4f65-9D91-7224C49458BB}"/>
            </c:extLst>
          </c:dLbls>
          <c:cat>
            <c:strRef>
              <c:f>Plan1!$V$3:$Z$3</c:f>
              <c:strCache>
                <c:ptCount val="5"/>
                <c:pt idx="0">
                  <c:v>Aprovado</c:v>
                </c:pt>
                <c:pt idx="1">
                  <c:v>Reprovados</c:v>
                </c:pt>
                <c:pt idx="2">
                  <c:v>Desistentes</c:v>
                </c:pt>
                <c:pt idx="3">
                  <c:v>Aptos a fazer Final</c:v>
                </c:pt>
                <c:pt idx="4">
                  <c:v>Aprovação Total</c:v>
                </c:pt>
              </c:strCache>
            </c:strRef>
          </c:cat>
          <c:val>
            <c:numRef>
              <c:f>Plan1!$V$4:$Z$4</c:f>
              <c:numCache>
                <c:formatCode>General</c:formatCode>
                <c:ptCount val="5"/>
                <c:pt idx="0">
                  <c:v>23</c:v>
                </c:pt>
                <c:pt idx="1">
                  <c:v>2</c:v>
                </c:pt>
                <c:pt idx="2">
                  <c:v>4</c:v>
                </c:pt>
                <c:pt idx="3">
                  <c:v>8</c:v>
                </c:pt>
                <c:pt idx="4">
                  <c:v>31</c:v>
                </c:pt>
              </c:numCache>
            </c:numRef>
          </c:val>
        </c:ser>
        <c:dLbls>
          <c:showPercent val="1"/>
        </c:dLbls>
        <c:firstSliceAng val="0"/>
      </c:pieChart>
    </c:plotArea>
    <c:legend>
      <c:legendPos val="t"/>
      <c:layout>
        <c:manualLayout>
          <c:xMode val="edge"/>
          <c:yMode val="edge"/>
          <c:x val="0.61558569884646752"/>
          <c:y val="0.29430872084385706"/>
          <c:w val="0.29060698295066106"/>
          <c:h val="0.64535611350468003"/>
        </c:manualLayout>
      </c:layout>
      <c:txPr>
        <a:bodyPr/>
        <a:lstStyle/>
        <a:p>
          <a:pPr>
            <a:defRPr sz="600"/>
          </a:pPr>
          <a:endParaRPr lang="pt-BR"/>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pt-BR"/>
  <c:style val="26"/>
  <c:chart>
    <c:title>
      <c:tx>
        <c:rich>
          <a:bodyPr/>
          <a:lstStyle/>
          <a:p>
            <a:pPr>
              <a:defRPr sz="1200"/>
            </a:pPr>
            <a:r>
              <a:rPr lang="pt-BR" sz="1200"/>
              <a:t>Frequência</a:t>
            </a:r>
            <a:r>
              <a:rPr lang="pt-BR" sz="1200" baseline="0"/>
              <a:t> Da Monitoria-2012.1 </a:t>
            </a:r>
            <a:endParaRPr lang="pt-BR" sz="1200"/>
          </a:p>
        </c:rich>
      </c:tx>
    </c:title>
    <c:plotArea>
      <c:layout>
        <c:manualLayout>
          <c:layoutTarget val="inner"/>
          <c:xMode val="edge"/>
          <c:yMode val="edge"/>
          <c:x val="0.14756908571142027"/>
          <c:y val="0.39391970622506361"/>
          <c:w val="0.29738468997107953"/>
          <c:h val="0.60608029377493733"/>
        </c:manualLayout>
      </c:layout>
      <c:pieChart>
        <c:varyColors val="1"/>
        <c:ser>
          <c:idx val="0"/>
          <c:order val="0"/>
          <c:explosion val="2"/>
          <c:dLbls>
            <c:spPr>
              <a:noFill/>
              <a:ln>
                <a:noFill/>
              </a:ln>
              <a:effectLst/>
            </c:spPr>
            <c:txPr>
              <a:bodyPr/>
              <a:lstStyle/>
              <a:p>
                <a:pPr>
                  <a:defRPr sz="900" b="1"/>
                </a:pPr>
                <a:endParaRPr lang="pt-BR"/>
              </a:p>
            </c:txPr>
            <c:showPercent val="1"/>
            <c:showLeaderLines val="1"/>
            <c:extLst>
              <c:ext xmlns:c15="http://schemas.microsoft.com/office/drawing/2012/chart" uri="{CE6537A1-D6FC-4f65-9D91-7224C49458BB}"/>
            </c:extLst>
          </c:dLbls>
          <c:cat>
            <c:strRef>
              <c:f>Plan1!$V$5:$AA$5</c:f>
              <c:strCache>
                <c:ptCount val="6"/>
                <c:pt idx="0">
                  <c:v>Presentes Aprovados</c:v>
                </c:pt>
                <c:pt idx="1">
                  <c:v>Presentes Reprovados</c:v>
                </c:pt>
                <c:pt idx="2">
                  <c:v>Ausentes Aprovados</c:v>
                </c:pt>
                <c:pt idx="3">
                  <c:v>Ausentes Reprovados</c:v>
                </c:pt>
                <c:pt idx="4">
                  <c:v> Presentes Desistentes</c:v>
                </c:pt>
                <c:pt idx="5">
                  <c:v>Ausentes Desistentes </c:v>
                </c:pt>
              </c:strCache>
            </c:strRef>
          </c:cat>
          <c:val>
            <c:numRef>
              <c:f>Plan1!$V$6:$AA$6</c:f>
              <c:numCache>
                <c:formatCode>General</c:formatCode>
                <c:ptCount val="6"/>
                <c:pt idx="0">
                  <c:v>26</c:v>
                </c:pt>
                <c:pt idx="1">
                  <c:v>0</c:v>
                </c:pt>
                <c:pt idx="2">
                  <c:v>5</c:v>
                </c:pt>
                <c:pt idx="3">
                  <c:v>2</c:v>
                </c:pt>
                <c:pt idx="4">
                  <c:v>0</c:v>
                </c:pt>
                <c:pt idx="5">
                  <c:v>5</c:v>
                </c:pt>
              </c:numCache>
            </c:numRef>
          </c:val>
        </c:ser>
        <c:dLbls>
          <c:showPercent val="1"/>
        </c:dLbls>
        <c:firstSliceAng val="0"/>
      </c:pieChart>
    </c:plotArea>
    <c:legend>
      <c:legendPos val="t"/>
      <c:layout>
        <c:manualLayout>
          <c:xMode val="edge"/>
          <c:yMode val="edge"/>
          <c:x val="0.55425046391494059"/>
          <c:y val="0.31967332595822268"/>
          <c:w val="0.37122122748355091"/>
          <c:h val="0.58187349515194797"/>
        </c:manualLayout>
      </c:layout>
      <c:txPr>
        <a:bodyPr/>
        <a:lstStyle/>
        <a:p>
          <a:pPr>
            <a:defRPr sz="600"/>
          </a:pPr>
          <a:endParaRPr lang="pt-BR"/>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pt-BR"/>
  <c:style val="26"/>
  <c:chart>
    <c:title>
      <c:tx>
        <c:rich>
          <a:bodyPr/>
          <a:lstStyle/>
          <a:p>
            <a:pPr>
              <a:defRPr sz="1200"/>
            </a:pPr>
            <a:r>
              <a:rPr lang="pt-BR" sz="1200"/>
              <a:t>Resultado</a:t>
            </a:r>
            <a:r>
              <a:rPr lang="pt-BR" sz="1200" baseline="0"/>
              <a:t> Final- 2012.2</a:t>
            </a:r>
            <a:endParaRPr lang="pt-BR" sz="1200"/>
          </a:p>
        </c:rich>
      </c:tx>
    </c:title>
    <c:plotArea>
      <c:layout>
        <c:manualLayout>
          <c:layoutTarget val="inner"/>
          <c:xMode val="edge"/>
          <c:yMode val="edge"/>
          <c:x val="0.13224993102277327"/>
          <c:y val="0.33546243160282979"/>
          <c:w val="0.38420625546806642"/>
          <c:h val="0.64034375911344465"/>
        </c:manualLayout>
      </c:layout>
      <c:pieChart>
        <c:varyColors val="1"/>
        <c:ser>
          <c:idx val="0"/>
          <c:order val="0"/>
          <c:dLbls>
            <c:dLbl>
              <c:idx val="1"/>
              <c:layout>
                <c:manualLayout>
                  <c:x val="-1.6518666298788127E-2"/>
                  <c:y val="-2.6752302148672101E-2"/>
                </c:manualLayout>
              </c:layout>
              <c:showPercent val="1"/>
              <c:extLst>
                <c:ext xmlns:c15="http://schemas.microsoft.com/office/drawing/2012/chart" uri="{CE6537A1-D6FC-4f65-9D91-7224C49458BB}"/>
              </c:extLst>
            </c:dLbl>
            <c:spPr>
              <a:noFill/>
              <a:ln>
                <a:noFill/>
              </a:ln>
              <a:effectLst/>
            </c:spPr>
            <c:txPr>
              <a:bodyPr/>
              <a:lstStyle/>
              <a:p>
                <a:pPr>
                  <a:defRPr sz="800" b="1"/>
                </a:pPr>
                <a:endParaRPr lang="pt-BR"/>
              </a:p>
            </c:txPr>
            <c:showPercent val="1"/>
            <c:showLeaderLines val="1"/>
            <c:extLst>
              <c:ext xmlns:c15="http://schemas.microsoft.com/office/drawing/2012/chart" uri="{CE6537A1-D6FC-4f65-9D91-7224C49458BB}"/>
            </c:extLst>
          </c:dLbls>
          <c:cat>
            <c:strRef>
              <c:f>Plan2!$X$2:$AB$2</c:f>
              <c:strCache>
                <c:ptCount val="5"/>
                <c:pt idx="0">
                  <c:v>Aprovados </c:v>
                </c:pt>
                <c:pt idx="1">
                  <c:v> Desistente</c:v>
                </c:pt>
                <c:pt idx="2">
                  <c:v>Aptos a fazer  final</c:v>
                </c:pt>
                <c:pt idx="3">
                  <c:v>Aprovação total</c:v>
                </c:pt>
                <c:pt idx="4">
                  <c:v>Reprovados</c:v>
                </c:pt>
              </c:strCache>
            </c:strRef>
          </c:cat>
          <c:val>
            <c:numRef>
              <c:f>Plan2!$X$3:$AB$3</c:f>
              <c:numCache>
                <c:formatCode>General</c:formatCode>
                <c:ptCount val="5"/>
                <c:pt idx="0">
                  <c:v>23</c:v>
                </c:pt>
                <c:pt idx="1">
                  <c:v>2</c:v>
                </c:pt>
                <c:pt idx="2">
                  <c:v>7</c:v>
                </c:pt>
                <c:pt idx="3">
                  <c:v>30</c:v>
                </c:pt>
                <c:pt idx="4">
                  <c:v>3</c:v>
                </c:pt>
              </c:numCache>
            </c:numRef>
          </c:val>
        </c:ser>
        <c:dLbls>
          <c:showPercent val="1"/>
        </c:dLbls>
        <c:firstSliceAng val="0"/>
      </c:pieChart>
    </c:plotArea>
    <c:legend>
      <c:legendPos val="t"/>
      <c:layout>
        <c:manualLayout>
          <c:xMode val="edge"/>
          <c:yMode val="edge"/>
          <c:x val="0.6211197656896662"/>
          <c:y val="0.31928233140599138"/>
          <c:w val="0.34091644204851751"/>
          <c:h val="0.59829909637679113"/>
        </c:manualLayout>
      </c:layout>
      <c:txPr>
        <a:bodyPr/>
        <a:lstStyle/>
        <a:p>
          <a:pPr>
            <a:defRPr sz="600"/>
          </a:pPr>
          <a:endParaRPr lang="pt-BR"/>
        </a:p>
      </c:txP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pt-BR"/>
  <c:style val="26"/>
  <c:chart>
    <c:title>
      <c:tx>
        <c:rich>
          <a:bodyPr/>
          <a:lstStyle/>
          <a:p>
            <a:pPr>
              <a:defRPr sz="1000"/>
            </a:pPr>
            <a:r>
              <a:rPr lang="en-US" sz="1000"/>
              <a:t>Frequência Da Monitoria-2012.2</a:t>
            </a:r>
            <a:endParaRPr lang="pt-BR" sz="1000"/>
          </a:p>
          <a:p>
            <a:pPr>
              <a:defRPr sz="1000"/>
            </a:pPr>
            <a:endParaRPr lang="pt-BR" sz="1000"/>
          </a:p>
        </c:rich>
      </c:tx>
      <c:layout>
        <c:manualLayout>
          <c:xMode val="edge"/>
          <c:yMode val="edge"/>
          <c:x val="0.19706722419868822"/>
          <c:y val="9.5486844632225855E-4"/>
        </c:manualLayout>
      </c:layout>
    </c:title>
    <c:plotArea>
      <c:layout>
        <c:manualLayout>
          <c:layoutTarget val="inner"/>
          <c:xMode val="edge"/>
          <c:yMode val="edge"/>
          <c:x val="0.11780785778066401"/>
          <c:y val="0.32388562658481274"/>
          <c:w val="0.35960484490889832"/>
          <c:h val="0.57750100093420531"/>
        </c:manualLayout>
      </c:layout>
      <c:pieChart>
        <c:varyColors val="1"/>
        <c:ser>
          <c:idx val="0"/>
          <c:order val="0"/>
          <c:dLbls>
            <c:dLbl>
              <c:idx val="1"/>
              <c:layout>
                <c:manualLayout>
                  <c:x val="2.9679762967773408E-2"/>
                  <c:y val="-4.6024312750379839E-2"/>
                </c:manualLayout>
              </c:layout>
              <c:showPercent val="1"/>
              <c:extLst>
                <c:ext xmlns:c15="http://schemas.microsoft.com/office/drawing/2012/chart" uri="{CE6537A1-D6FC-4f65-9D91-7224C49458BB}"/>
              </c:extLst>
            </c:dLbl>
            <c:dLbl>
              <c:idx val="3"/>
              <c:layout>
                <c:manualLayout>
                  <c:x val="-4.7759333513389983E-3"/>
                  <c:y val="1.9660349659682386E-2"/>
                </c:manualLayout>
              </c:layout>
              <c:showPercent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layout>
                <c:manualLayout>
                  <c:x val="4.8976793468098807E-2"/>
                  <c:y val="-7.7118644067796661E-3"/>
                </c:manualLayout>
              </c:layout>
              <c:showPercent val="1"/>
              <c:extLst>
                <c:ext xmlns:c15="http://schemas.microsoft.com/office/drawing/2012/chart" uri="{CE6537A1-D6FC-4f65-9D91-7224C49458BB}"/>
              </c:extLst>
            </c:dLbl>
            <c:spPr>
              <a:noFill/>
              <a:ln>
                <a:noFill/>
              </a:ln>
              <a:effectLst/>
            </c:spPr>
            <c:txPr>
              <a:bodyPr/>
              <a:lstStyle/>
              <a:p>
                <a:pPr>
                  <a:defRPr sz="800" b="1"/>
                </a:pPr>
                <a:endParaRPr lang="pt-BR"/>
              </a:p>
            </c:txPr>
            <c:showPercent val="1"/>
            <c:showLeaderLines val="1"/>
            <c:extLst>
              <c:ext xmlns:c15="http://schemas.microsoft.com/office/drawing/2012/chart" uri="{CE6537A1-D6FC-4f65-9D91-7224C49458BB}"/>
            </c:extLst>
          </c:dLbls>
          <c:cat>
            <c:strRef>
              <c:f>Plan2!$X$5:$AC$5</c:f>
              <c:strCache>
                <c:ptCount val="6"/>
                <c:pt idx="0">
                  <c:v>Presentes Aprovados</c:v>
                </c:pt>
                <c:pt idx="1">
                  <c:v>Presentes Reprovados</c:v>
                </c:pt>
                <c:pt idx="2">
                  <c:v>Ausentes Aprovados</c:v>
                </c:pt>
                <c:pt idx="3">
                  <c:v>Ausentes Reprovados</c:v>
                </c:pt>
                <c:pt idx="4">
                  <c:v> Presentes Desistentes</c:v>
                </c:pt>
                <c:pt idx="5">
                  <c:v>Ausentes Desistentes </c:v>
                </c:pt>
              </c:strCache>
            </c:strRef>
          </c:cat>
          <c:val>
            <c:numRef>
              <c:f>Plan2!$X$6:$AC$6</c:f>
              <c:numCache>
                <c:formatCode>General</c:formatCode>
                <c:ptCount val="6"/>
                <c:pt idx="0">
                  <c:v>19</c:v>
                </c:pt>
                <c:pt idx="1">
                  <c:v>2</c:v>
                </c:pt>
                <c:pt idx="2">
                  <c:v>11</c:v>
                </c:pt>
                <c:pt idx="3">
                  <c:v>1</c:v>
                </c:pt>
                <c:pt idx="4">
                  <c:v>0</c:v>
                </c:pt>
                <c:pt idx="5">
                  <c:v>2</c:v>
                </c:pt>
              </c:numCache>
            </c:numRef>
          </c:val>
        </c:ser>
        <c:dLbls>
          <c:showPercent val="1"/>
        </c:dLbls>
        <c:firstSliceAng val="0"/>
      </c:pieChart>
    </c:plotArea>
    <c:legend>
      <c:legendPos val="t"/>
      <c:legendEntry>
        <c:idx val="4"/>
        <c:delete val="1"/>
      </c:legendEntry>
      <c:layout>
        <c:manualLayout>
          <c:xMode val="edge"/>
          <c:yMode val="edge"/>
          <c:x val="0.5574020806285731"/>
          <c:y val="0.2994522757826012"/>
          <c:w val="0.36672620922384808"/>
          <c:h val="0.52640145366444679"/>
        </c:manualLayout>
      </c:layout>
      <c:txPr>
        <a:bodyPr/>
        <a:lstStyle/>
        <a:p>
          <a:pPr>
            <a:defRPr sz="600"/>
          </a:pPr>
          <a:endParaRPr lang="pt-BR"/>
        </a:p>
      </c:txPr>
    </c:legend>
    <c:plotVisOnly val="1"/>
    <c:dispBlanksAs val="zero"/>
  </c:chart>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210143-6DCE-4662-A06D-62CAAD859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1494</Words>
  <Characters>8069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Meu</dc:creator>
  <cp:lastModifiedBy>cem01</cp:lastModifiedBy>
  <cp:revision>3</cp:revision>
  <dcterms:created xsi:type="dcterms:W3CDTF">2013-10-30T09:52:00Z</dcterms:created>
  <dcterms:modified xsi:type="dcterms:W3CDTF">2014-07-14T19:49:00Z</dcterms:modified>
</cp:coreProperties>
</file>